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40"/>
        <w:spacing w:after="0" w:line="27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-185420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-586105</wp:posOffset>
            </wp:positionV>
            <wp:extent cx="55880"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94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-586105</wp:posOffset>
            </wp:positionV>
            <wp:extent cx="55880" cy="59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944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618490</wp:posOffset>
            </wp:positionV>
            <wp:extent cx="7002145" cy="887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879205"/>
                    </a:xfrm>
                    <a:prstGeom prst="rect">
                      <a:avLst/>
                    </a:prstGeom>
                    <a:noFill/>
                  </pic:spPr>
                </pic:pic>
              </a:graphicData>
            </a:graphic>
          </wp:anchor>
        </w:drawing>
      </w:r>
    </w:p>
    <w:p>
      <w:pPr>
        <w:spacing w:after="0" w:line="981"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10"/>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40" w:type="dxa"/>
            <w:vAlign w:val="bottom"/>
            <w:gridSpan w:val="6"/>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Sukhtian Ghiath M.</w:t>
              </w:r>
            </w:hyperlink>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10"/>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Outlook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OTLK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40" w:type="dxa"/>
            <w:vAlign w:val="bottom"/>
            <w:gridSpan w:val="6"/>
            <w:vMerge w:val="continue"/>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380" w:type="dxa"/>
            <w:vAlign w:val="bottom"/>
            <w:tcBorders>
              <w:bottom w:val="single" w:sz="8" w:color="0000EE"/>
            </w:tcBorders>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640" w:type="dxa"/>
            <w:vAlign w:val="bottom"/>
            <w:tcBorders>
              <w:bottom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40" w:type="dxa"/>
            <w:vAlign w:val="bottom"/>
            <w:gridSpan w:val="6"/>
            <w:vMerge w:val="continue"/>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3"/>
            <w:vMerge w:val="restart"/>
          </w:tcPr>
          <w:p>
            <w:pPr>
              <w:ind w:left="260"/>
              <w:spacing w:after="0"/>
              <w:rPr>
                <w:sz w:val="20"/>
                <w:szCs w:val="20"/>
                <w:color w:val="auto"/>
              </w:rPr>
            </w:pPr>
            <w:r>
              <w:rPr>
                <w:rFonts w:ascii="Arial" w:cs="Arial" w:eastAsia="Arial" w:hAnsi="Arial"/>
                <w:sz w:val="12"/>
                <w:szCs w:val="12"/>
                <w:color w:val="auto"/>
              </w:rPr>
              <w:t>10% Owner</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200" w:type="dxa"/>
            <w:vAlign w:val="bottom"/>
            <w:gridSpan w:val="3"/>
            <w:vMerge w:val="restart"/>
          </w:tcPr>
          <w:p>
            <w:pPr>
              <w:ind w:left="260"/>
              <w:spacing w:after="0"/>
              <w:rPr>
                <w:sz w:val="20"/>
                <w:szCs w:val="20"/>
                <w:color w:val="auto"/>
              </w:rPr>
            </w:pPr>
            <w:r>
              <w:rPr>
                <w:rFonts w:ascii="Arial" w:cs="Arial" w:eastAsia="Arial" w:hAnsi="Arial"/>
                <w:sz w:val="12"/>
                <w:szCs w:val="12"/>
                <w:color w:val="auto"/>
              </w:rPr>
              <w:t>Other (specify</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92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10"/>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10"/>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7TH CIRCLE, ZAHRAN ST.</w:t>
            </w:r>
          </w:p>
        </w:tc>
        <w:tc>
          <w:tcPr>
            <w:tcW w:w="920" w:type="dxa"/>
            <w:vAlign w:val="bottom"/>
          </w:tcPr>
          <w:p>
            <w:pPr>
              <w:spacing w:after="0"/>
              <w:rPr>
                <w:sz w:val="19"/>
                <w:szCs w:val="19"/>
                <w:color w:val="auto"/>
              </w:rPr>
            </w:pPr>
          </w:p>
        </w:tc>
        <w:tc>
          <w:tcPr>
            <w:tcW w:w="1400" w:type="dxa"/>
            <w:vAlign w:val="bottom"/>
            <w:gridSpan w:val="9"/>
          </w:tcPr>
          <w:p>
            <w:pPr>
              <w:ind w:left="540"/>
              <w:spacing w:after="0"/>
              <w:rPr>
                <w:sz w:val="20"/>
                <w:szCs w:val="20"/>
                <w:color w:val="auto"/>
              </w:rPr>
            </w:pPr>
            <w:r>
              <w:rPr>
                <w:rFonts w:ascii="Times New Roman" w:cs="Times New Roman" w:eastAsia="Times New Roman" w:hAnsi="Times New Roman"/>
                <w:sz w:val="16"/>
                <w:szCs w:val="16"/>
                <w:color w:val="0000FF"/>
              </w:rPr>
              <w:t>05/28/2026</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ZAHRAN PLAZA BUILDING, 4TH FLOOR</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2880" w:type="dxa"/>
            <w:vAlign w:val="bottom"/>
            <w:tcBorders>
              <w:bottom w:val="single" w:sz="8" w:color="2C2C2C"/>
            </w:tcBorders>
            <w:gridSpan w:val="7"/>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32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gridSpan w:val="11"/>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2"/>
                <w:szCs w:val="2"/>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6"/>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11"/>
            <w:vMerge w:val="continue"/>
          </w:tcPr>
          <w:p>
            <w:pPr>
              <w:spacing w:after="0"/>
              <w:rPr>
                <w:sz w:val="12"/>
                <w:szCs w:val="12"/>
                <w:color w:val="auto"/>
              </w:rPr>
            </w:pPr>
          </w:p>
        </w:tc>
        <w:tc>
          <w:tcPr>
            <w:tcW w:w="32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6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gridSpan w:val="5"/>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AMMAN</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M2</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11844</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80" w:type="dxa"/>
            <w:vAlign w:val="bottom"/>
            <w:gridSpan w:val="6"/>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920" w:type="dxa"/>
            <w:vAlign w:val="bottom"/>
          </w:tcPr>
          <w:p>
            <w:pPr>
              <w:ind w:left="1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gridSpan w:val="2"/>
          </w:tcPr>
          <w:p>
            <w:pPr>
              <w:spacing w:after="0"/>
              <w:rPr>
                <w:sz w:val="9"/>
                <w:szCs w:val="9"/>
                <w:color w:val="auto"/>
              </w:rPr>
            </w:pPr>
          </w:p>
        </w:tc>
        <w:tc>
          <w:tcPr>
            <w:tcW w:w="172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21"/>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4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3"/>
                <w:szCs w:val="13"/>
                <w:color w:val="auto"/>
              </w:rPr>
            </w:pPr>
          </w:p>
        </w:tc>
        <w:tc>
          <w:tcPr>
            <w:tcW w:w="1040" w:type="dxa"/>
            <w:vAlign w:val="bottom"/>
            <w:gridSpan w:val="5"/>
          </w:tcPr>
          <w:p>
            <w:pPr>
              <w:ind w:left="20"/>
              <w:spacing w:after="0"/>
              <w:rPr>
                <w:sz w:val="20"/>
                <w:szCs w:val="20"/>
                <w:color w:val="auto"/>
              </w:rPr>
            </w:pPr>
            <w:r>
              <w:rPr>
                <w:rFonts w:ascii="Arial" w:cs="Arial" w:eastAsia="Arial" w:hAnsi="Arial"/>
                <w:sz w:val="11"/>
                <w:szCs w:val="11"/>
                <w:b w:val="1"/>
                <w:bCs w:val="1"/>
                <w:color w:val="auto"/>
              </w:rPr>
              <w:t>2A. Deemed</w:t>
            </w:r>
          </w:p>
        </w:tc>
        <w:tc>
          <w:tcPr>
            <w:tcW w:w="6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200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7. Nature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gridSpan w:val="6"/>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104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gridSpan w:val="6"/>
          </w:tcPr>
          <w:p>
            <w:pPr>
              <w:ind w:left="86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80" w:type="dxa"/>
            <w:vAlign w:val="bottom"/>
          </w:tcPr>
          <w:p>
            <w:pPr>
              <w:spacing w:after="0"/>
              <w:rPr>
                <w:sz w:val="10"/>
                <w:szCs w:val="10"/>
                <w:color w:val="auto"/>
              </w:rPr>
            </w:pPr>
          </w:p>
        </w:tc>
        <w:tc>
          <w:tcPr>
            <w:tcW w:w="4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Beneficially Owned</w:t>
            </w:r>
          </w:p>
        </w:tc>
        <w:tc>
          <w:tcPr>
            <w:tcW w:w="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spacing w:after="0" w:line="121"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Following Reported</w:t>
            </w:r>
          </w:p>
        </w:tc>
        <w:tc>
          <w:tcPr>
            <w:tcW w:w="8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restart"/>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gridSpan w:val="2"/>
            <w:vMerge w:val="restart"/>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05/28/2026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P</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2"/>
              </w:rPr>
              <w:t>8,539,709</w:t>
            </w:r>
            <w:r>
              <w:rPr>
                <w:rFonts w:ascii="Times New Roman" w:cs="Times New Roman" w:eastAsia="Times New Roman" w:hAnsi="Times New Roman"/>
                <w:sz w:val="20"/>
                <w:szCs w:val="20"/>
                <w:color w:val="008000"/>
                <w:w w:val="92"/>
                <w:vertAlign w:val="superscript"/>
              </w:rPr>
              <w:t>(1)</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0.5855</w:t>
            </w:r>
          </w:p>
        </w:tc>
        <w:tc>
          <w:tcPr>
            <w:tcW w:w="20" w:type="dxa"/>
            <w:vAlign w:val="bottom"/>
          </w:tcPr>
          <w:p>
            <w:pPr>
              <w:spacing w:after="0"/>
              <w:rPr>
                <w:sz w:val="19"/>
                <w:szCs w:val="19"/>
                <w:color w:val="auto"/>
              </w:rPr>
            </w:pPr>
          </w:p>
        </w:tc>
        <w:tc>
          <w:tcPr>
            <w:tcW w:w="11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color w:val="0000FF"/>
              </w:rPr>
              <w:t>22,092,068</w:t>
            </w:r>
          </w:p>
        </w:tc>
        <w:tc>
          <w:tcPr>
            <w:tcW w:w="340" w:type="dxa"/>
            <w:vAlign w:val="bottom"/>
          </w:tcPr>
          <w:p>
            <w:pPr>
              <w:spacing w:after="0"/>
              <w:rPr>
                <w:sz w:val="19"/>
                <w:szCs w:val="19"/>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32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40"/>
        </w:trPr>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40" w:type="dxa"/>
            <w:vAlign w:val="bottom"/>
            <w:gridSpan w:val="21"/>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00" w:type="dxa"/>
            <w:vAlign w:val="bottom"/>
            <w:gridSpan w:val="18"/>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gridSpan w:val="3"/>
          </w:tcPr>
          <w:p>
            <w:pPr>
              <w:ind w:left="120"/>
              <w:spacing w:after="0"/>
              <w:rPr>
                <w:sz w:val="20"/>
                <w:szCs w:val="20"/>
                <w:color w:val="auto"/>
              </w:rPr>
            </w:pPr>
            <w:r>
              <w:rPr>
                <w:rFonts w:ascii="Arial" w:cs="Arial" w:eastAsia="Arial" w:hAnsi="Arial"/>
                <w:sz w:val="11"/>
                <w:szCs w:val="11"/>
                <w:b w:val="1"/>
                <w:bCs w:val="1"/>
                <w:color w:val="auto"/>
              </w:rPr>
              <w:t>3. Transaction</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6"/>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6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20" w:type="dxa"/>
            <w:vAlign w:val="bottom"/>
            <w:gridSpan w:val="3"/>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w w:val="99"/>
              </w:rPr>
              <w:t>Derivative Securities</w:t>
            </w:r>
          </w:p>
        </w:tc>
        <w:tc>
          <w:tcPr>
            <w:tcW w:w="152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2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52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6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76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3"/>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vMerge w:val="restart"/>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4"/>
          </w:tcPr>
          <w:p>
            <w:pPr>
              <w:ind w:left="20"/>
              <w:spacing w:after="0"/>
              <w:rPr>
                <w:sz w:val="20"/>
                <w:szCs w:val="20"/>
                <w:color w:val="auto"/>
              </w:rPr>
            </w:pPr>
            <w:r>
              <w:rPr>
                <w:rFonts w:ascii="Arial" w:cs="Arial" w:eastAsia="Arial" w:hAnsi="Arial"/>
                <w:sz w:val="11"/>
                <w:szCs w:val="11"/>
                <w:b w:val="1"/>
                <w:bCs w:val="1"/>
                <w:color w:val="auto"/>
              </w:rPr>
              <w:t>(A)</w:t>
            </w: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H</w:t>
            </w:r>
            <w:r>
              <w:rPr>
                <w:rFonts w:ascii="Times New Roman" w:cs="Times New Roman" w:eastAsia="Times New Roman" w:hAnsi="Times New Roman"/>
                <w:sz w:val="10"/>
                <w:szCs w:val="10"/>
                <w:color w:val="008000"/>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6"/>
              </w:rPr>
              <w:t>3,458,571</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(4)</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jc w:val="center"/>
              <w:ind w:left="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2.26</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05/28/2026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w w:val="99"/>
              </w:rPr>
              <w:t>3,458,571</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01/17/2025</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0000FF"/>
              </w:rPr>
              <w:t>01/17/2030</w:t>
            </w:r>
          </w:p>
        </w:tc>
        <w:tc>
          <w:tcPr>
            <w:tcW w:w="52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tcPr>
          <w:p>
            <w:pPr>
              <w:jc w:val="center"/>
              <w:ind w:left="30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Borders>
              <w:right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008000"/>
                <w:w w:val="85"/>
              </w:rPr>
              <w:t>(2)(3)</w:t>
            </w:r>
          </w:p>
        </w:tc>
        <w:tc>
          <w:tcPr>
            <w:tcW w:w="0" w:type="dxa"/>
            <w:vAlign w:val="bottom"/>
          </w:tcPr>
          <w:p>
            <w:pPr>
              <w:spacing w:after="0"/>
              <w:rPr>
                <w:sz w:val="1"/>
                <w:szCs w:val="1"/>
                <w:color w:val="auto"/>
              </w:rPr>
            </w:pPr>
          </w:p>
        </w:tc>
      </w:tr>
      <w:tr>
        <w:trPr>
          <w:trHeight w:val="108"/>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color w:val="0000FF"/>
                <w:w w:val="99"/>
              </w:rPr>
              <w:t>footnote</w:t>
            </w:r>
          </w:p>
        </w:tc>
        <w:tc>
          <w:tcPr>
            <w:tcW w:w="2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66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P</w:t>
            </w:r>
            <w:r>
              <w:rPr>
                <w:rFonts w:ascii="Times New Roman" w:cs="Times New Roman" w:eastAsia="Times New Roman" w:hAnsi="Times New Roman"/>
                <w:sz w:val="10"/>
                <w:szCs w:val="10"/>
                <w:color w:val="008000"/>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6"/>
              </w:rPr>
              <w:t>3,458,571</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(4)</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jc w:val="center"/>
              <w:ind w:left="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0.5855</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05/28/2026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3,458,571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01/17/2025</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0000FF"/>
              </w:rPr>
              <w:t>01/17/2030</w:t>
            </w:r>
          </w:p>
        </w:tc>
        <w:tc>
          <w:tcPr>
            <w:tcW w:w="52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3,458,571</w:t>
            </w: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Borders>
              <w:right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008000"/>
                <w:w w:val="85"/>
              </w:rPr>
              <w:t>(2)(3)</w:t>
            </w:r>
          </w:p>
        </w:tc>
        <w:tc>
          <w:tcPr>
            <w:tcW w:w="0" w:type="dxa"/>
            <w:vAlign w:val="bottom"/>
          </w:tcPr>
          <w:p>
            <w:pPr>
              <w:spacing w:after="0"/>
              <w:rPr>
                <w:sz w:val="1"/>
                <w:szCs w:val="1"/>
                <w:color w:val="auto"/>
              </w:rPr>
            </w:pPr>
          </w:p>
        </w:tc>
      </w:tr>
      <w:tr>
        <w:trPr>
          <w:trHeight w:val="108"/>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color w:val="0000FF"/>
                <w:w w:val="99"/>
              </w:rPr>
              <w:t>footnote</w:t>
            </w:r>
          </w:p>
        </w:tc>
        <w:tc>
          <w:tcPr>
            <w:tcW w:w="2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66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H</w:t>
            </w:r>
            <w:r>
              <w:rPr>
                <w:rFonts w:ascii="Times New Roman" w:cs="Times New Roman" w:eastAsia="Times New Roman" w:hAnsi="Times New Roman"/>
                <w:sz w:val="10"/>
                <w:szCs w:val="10"/>
                <w:color w:val="008000"/>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6"/>
              </w:rPr>
              <w:t>3,458,571</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(5)</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jc w:val="center"/>
              <w:ind w:left="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2.26</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05/28/2026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w w:val="99"/>
              </w:rPr>
              <w:t>3,458,571</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03/11/2025</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0000FF"/>
              </w:rPr>
              <w:t>03/11/2030</w:t>
            </w:r>
          </w:p>
        </w:tc>
        <w:tc>
          <w:tcPr>
            <w:tcW w:w="52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tcPr>
          <w:p>
            <w:pPr>
              <w:jc w:val="center"/>
              <w:ind w:left="30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Borders>
              <w:right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008000"/>
                <w:w w:val="85"/>
              </w:rPr>
              <w:t>(2)(3)</w:t>
            </w:r>
          </w:p>
        </w:tc>
        <w:tc>
          <w:tcPr>
            <w:tcW w:w="0" w:type="dxa"/>
            <w:vAlign w:val="bottom"/>
          </w:tcPr>
          <w:p>
            <w:pPr>
              <w:spacing w:after="0"/>
              <w:rPr>
                <w:sz w:val="1"/>
                <w:szCs w:val="1"/>
                <w:color w:val="auto"/>
              </w:rPr>
            </w:pPr>
          </w:p>
        </w:tc>
      </w:tr>
      <w:tr>
        <w:trPr>
          <w:trHeight w:val="108"/>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color w:val="0000FF"/>
                <w:w w:val="99"/>
              </w:rPr>
              <w:t>footnote</w:t>
            </w:r>
          </w:p>
        </w:tc>
        <w:tc>
          <w:tcPr>
            <w:tcW w:w="2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66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P</w:t>
            </w:r>
            <w:r>
              <w:rPr>
                <w:rFonts w:ascii="Times New Roman" w:cs="Times New Roman" w:eastAsia="Times New Roman" w:hAnsi="Times New Roman"/>
                <w:sz w:val="10"/>
                <w:szCs w:val="10"/>
                <w:color w:val="008000"/>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6"/>
              </w:rPr>
              <w:t>3,458,571</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(5)</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jc w:val="center"/>
              <w:ind w:left="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0.5855</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05/28/2026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3,458,571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03/11/2025</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0000FF"/>
              </w:rPr>
              <w:t>03/11/2030</w:t>
            </w:r>
          </w:p>
        </w:tc>
        <w:tc>
          <w:tcPr>
            <w:tcW w:w="52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3,458,571</w:t>
            </w: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Borders>
              <w:right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008000"/>
                <w:w w:val="85"/>
              </w:rPr>
              <w:t>(2)(3)</w:t>
            </w:r>
          </w:p>
        </w:tc>
        <w:tc>
          <w:tcPr>
            <w:tcW w:w="0" w:type="dxa"/>
            <w:vAlign w:val="bottom"/>
          </w:tcPr>
          <w:p>
            <w:pPr>
              <w:spacing w:after="0"/>
              <w:rPr>
                <w:sz w:val="1"/>
                <w:szCs w:val="1"/>
                <w:color w:val="auto"/>
              </w:rPr>
            </w:pPr>
          </w:p>
        </w:tc>
      </w:tr>
      <w:tr>
        <w:trPr>
          <w:trHeight w:val="108"/>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color w:val="0000FF"/>
                <w:w w:val="99"/>
              </w:rPr>
              <w:t>footnote</w:t>
            </w:r>
          </w:p>
        </w:tc>
        <w:tc>
          <w:tcPr>
            <w:tcW w:w="2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66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H</w:t>
            </w:r>
            <w:r>
              <w:rPr>
                <w:rFonts w:ascii="Times New Roman" w:cs="Times New Roman" w:eastAsia="Times New Roman" w:hAnsi="Times New Roman"/>
                <w:sz w:val="10"/>
                <w:szCs w:val="10"/>
                <w:color w:val="008000"/>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6"/>
              </w:rPr>
              <w:t>8,571,428</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jc w:val="center"/>
              <w:ind w:left="6"/>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1.4</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05/28/2026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w w:val="99"/>
              </w:rPr>
              <w:t>8,571,428</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05/27/2025</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0000FF"/>
              </w:rPr>
              <w:t>05/27/2030</w:t>
            </w:r>
          </w:p>
        </w:tc>
        <w:tc>
          <w:tcPr>
            <w:tcW w:w="52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tcPr>
          <w:p>
            <w:pPr>
              <w:jc w:val="center"/>
              <w:ind w:left="30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Borders>
              <w:right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008000"/>
                <w:w w:val="85"/>
              </w:rPr>
              <w:t>(2)(3)</w:t>
            </w:r>
          </w:p>
        </w:tc>
        <w:tc>
          <w:tcPr>
            <w:tcW w:w="0" w:type="dxa"/>
            <w:vAlign w:val="bottom"/>
          </w:tcPr>
          <w:p>
            <w:pPr>
              <w:spacing w:after="0"/>
              <w:rPr>
                <w:sz w:val="1"/>
                <w:szCs w:val="1"/>
                <w:color w:val="auto"/>
              </w:rPr>
            </w:pPr>
          </w:p>
        </w:tc>
      </w:tr>
      <w:tr>
        <w:trPr>
          <w:trHeight w:val="108"/>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color w:val="0000FF"/>
                <w:w w:val="99"/>
              </w:rPr>
              <w:t>footnote</w:t>
            </w:r>
          </w:p>
        </w:tc>
        <w:tc>
          <w:tcPr>
            <w:tcW w:w="2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66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P</w:t>
            </w:r>
            <w:r>
              <w:rPr>
                <w:rFonts w:ascii="Times New Roman" w:cs="Times New Roman" w:eastAsia="Times New Roman" w:hAnsi="Times New Roman"/>
                <w:sz w:val="10"/>
                <w:szCs w:val="10"/>
                <w:color w:val="008000"/>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6"/>
              </w:rPr>
              <w:t>8,571,428</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jc w:val="center"/>
              <w:ind w:left="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0.5855</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05/28/2026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8,571,428</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05/27/2025</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0000FF"/>
              </w:rPr>
              <w:t>05/27/2030</w:t>
            </w:r>
          </w:p>
        </w:tc>
        <w:tc>
          <w:tcPr>
            <w:tcW w:w="52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8,571,428</w:t>
            </w:r>
          </w:p>
        </w:tc>
        <w:tc>
          <w:tcPr>
            <w:tcW w:w="50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Borders>
              <w:right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0"/>
                <w:szCs w:val="10"/>
                <w:color w:val="008000"/>
                <w:w w:val="85"/>
              </w:rPr>
              <w:t>(2)(3)</w:t>
            </w:r>
          </w:p>
        </w:tc>
        <w:tc>
          <w:tcPr>
            <w:tcW w:w="0" w:type="dxa"/>
            <w:vAlign w:val="bottom"/>
          </w:tcPr>
          <w:p>
            <w:pPr>
              <w:spacing w:after="0"/>
              <w:rPr>
                <w:sz w:val="1"/>
                <w:szCs w:val="1"/>
                <w:color w:val="auto"/>
              </w:rPr>
            </w:pPr>
          </w:p>
        </w:tc>
      </w:tr>
      <w:tr>
        <w:trPr>
          <w:trHeight w:val="108"/>
        </w:trPr>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color w:val="0000FF"/>
                <w:w w:val="99"/>
              </w:rPr>
              <w:t>footnote</w:t>
            </w:r>
          </w:p>
        </w:tc>
        <w:tc>
          <w:tcPr>
            <w:tcW w:w="2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66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3"/>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440" w:type="dxa"/>
            <w:vAlign w:val="bottom"/>
            <w:tcBorders>
              <w:top w:val="single" w:sz="8" w:color="2C2C2C"/>
            </w:tcBorders>
            <w:gridSpan w:val="7"/>
          </w:tcPr>
          <w:p>
            <w:pPr>
              <w:ind w:left="60"/>
              <w:spacing w:after="0" w:line="21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340" w:type="dxa"/>
            <w:vAlign w:val="bottom"/>
            <w:gridSpan w:val="6"/>
          </w:tcPr>
          <w:p>
            <w:pPr>
              <w:spacing w:after="0" w:line="20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Sukhtian Ghiath M.</w:t>
              </w:r>
            </w:hyperlink>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920" w:type="dxa"/>
            <w:vAlign w:val="bottom"/>
          </w:tcPr>
          <w:p>
            <w:pPr>
              <w:ind w:left="4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7TH CIRCLE, ZAHRAN ST.</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ZAHRAN PLAZA BUILDING, 4TH FLOOR</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20" w:type="dxa"/>
            <w:vAlign w:val="bottom"/>
            <w:gridSpan w:val="2"/>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AMMAN</w:t>
            </w: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0000FF"/>
              </w:rPr>
              <w:t>M2</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11844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Arial" w:cs="Arial" w:eastAsia="Arial" w:hAnsi="Arial"/>
                <w:sz w:val="12"/>
                <w:szCs w:val="12"/>
                <w:color w:val="auto"/>
              </w:rPr>
              <w:t>(State)</w:t>
            </w:r>
          </w:p>
        </w:tc>
        <w:tc>
          <w:tcPr>
            <w:tcW w:w="920" w:type="dxa"/>
            <w:vAlign w:val="bottom"/>
          </w:tcPr>
          <w:p>
            <w:pPr>
              <w:ind w:left="4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3"/>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440" w:type="dxa"/>
            <w:vAlign w:val="bottom"/>
            <w:gridSpan w:val="7"/>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340" w:type="dxa"/>
            <w:vAlign w:val="bottom"/>
            <w:gridSpan w:val="6"/>
          </w:tcPr>
          <w:p>
            <w:pPr>
              <w:spacing w:after="0" w:line="206"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GMS Ventures &amp; Investments</w:t>
              </w:r>
            </w:hyperlink>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920" w:type="dxa"/>
            <w:vAlign w:val="bottom"/>
          </w:tcPr>
          <w:p>
            <w:pPr>
              <w:ind w:left="4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-5268595</wp:posOffset>
            </wp:positionV>
            <wp:extent cx="27940" cy="3070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307022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INTERTRUST CORP. SVCS. (CAYMAN) LTD.</w:t>
      </w:r>
    </w:p>
    <w:p>
      <w:pPr>
        <w:spacing w:after="0" w:line="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190 ELGIN AVENUE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1" w:right="359" w:bottom="0" w:gutter="0" w:footer="0" w:header="0"/>
          <w:type w:val="continuous"/>
        </w:sectPr>
      </w:pPr>
    </w:p>
    <w:p>
      <w:pPr>
        <w:spacing w:after="0" w:line="30" w:lineRule="exact"/>
        <w:rPr>
          <w:sz w:val="20"/>
          <w:szCs w:val="20"/>
          <w:color w:val="auto"/>
        </w:rPr>
      </w:pPr>
    </w:p>
    <w:p>
      <w:pPr>
        <w:ind w:left="10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GEORGE TOWN</w:t>
      </w:r>
      <w:r>
        <w:rPr>
          <w:sz w:val="20"/>
          <w:szCs w:val="20"/>
          <w:color w:val="auto"/>
        </w:rPr>
        <w:tab/>
      </w:r>
      <w:r>
        <w:rPr>
          <w:rFonts w:ascii="Times New Roman" w:cs="Times New Roman" w:eastAsia="Times New Roman" w:hAnsi="Times New Roman"/>
          <w:sz w:val="16"/>
          <w:szCs w:val="16"/>
          <w:color w:val="0000FF"/>
        </w:rPr>
        <w:t>E9</w:t>
      </w:r>
      <w:r>
        <w:rPr>
          <w:sz w:val="20"/>
          <w:szCs w:val="20"/>
          <w:color w:val="auto"/>
        </w:rPr>
        <w:tab/>
      </w:r>
      <w:r>
        <w:rPr>
          <w:rFonts w:ascii="Times New Roman" w:cs="Times New Roman" w:eastAsia="Times New Roman" w:hAnsi="Times New Roman"/>
          <w:sz w:val="15"/>
          <w:szCs w:val="15"/>
          <w:color w:val="0000FF"/>
        </w:rPr>
        <w:t>KY1-9007</w:t>
      </w:r>
    </w:p>
    <w:p>
      <w:pPr>
        <w:sectPr>
          <w:pgSz w:w="11900" w:h="16838" w:orient="portrait"/>
          <w:cols w:equalWidth="0" w:num="1">
            <w:col w:w="11080"/>
          </w:cols>
          <w:pgMar w:left="460" w:top="211" w:right="359" w:bottom="0" w:gutter="0" w:footer="0" w:header="0"/>
          <w:type w:val="continuous"/>
        </w:sectPr>
      </w:pPr>
    </w:p>
    <w:bookmarkStart w:id="1" w:name="page2"/>
    <w:bookmarkEnd w:id="1"/>
    <w:p>
      <w:pPr>
        <w:spacing w:after="0"/>
        <w:tabs>
          <w:tab w:leader="none" w:pos="1500" w:val="left"/>
          <w:tab w:leader="none" w:pos="292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289560</wp:posOffset>
            </wp:positionH>
            <wp:positionV relativeFrom="page">
              <wp:posOffset>88900</wp:posOffset>
            </wp:positionV>
            <wp:extent cx="279717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7175" cy="188595"/>
                    </a:xfrm>
                    <a:prstGeom prst="rect">
                      <a:avLst/>
                    </a:prstGeom>
                    <a:noFill/>
                  </pic:spPr>
                </pic:pic>
              </a:graphicData>
            </a:graphic>
          </wp:anchor>
        </w:drawing>
        <w:drawing>
          <wp:inline distT="0" distB="0" distL="0" distR="0">
            <wp:extent cx="40640" cy="1885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0640" cy="188595"/>
                    </a:xfrm>
                    <a:prstGeom prst="rect">
                      <a:avLst/>
                    </a:prstGeom>
                    <a:noFill/>
                    <a:ln>
                      <a:noFill/>
                    </a:ln>
                  </pic:spPr>
                </pic:pic>
              </a:graphicData>
            </a:graphic>
          </wp:inline>
        </w:drawing>
      </w:r>
      <w:r>
        <w:rPr>
          <w:rFonts w:ascii="Arial" w:cs="Arial" w:eastAsia="Arial" w:hAnsi="Arial"/>
          <w:sz w:val="12"/>
          <w:szCs w:val="12"/>
          <w:color w:val="auto"/>
        </w:rPr>
        <w:t xml:space="preserve"> (City)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60" w:right="440" w:hanging="7"/>
        <w:spacing w:after="0" w:line="260" w:lineRule="auto"/>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28, 2026, GMS Ventures and Investments ("GMS Ventures") entered into a securities purchase agreement with Outlook Therapeutics, Inc. (the "Issuer") pursuant to which the Issuer agreed to issue and sell 8,539,709 shares of the Issuer's common stock at $0.5855 per share in a registered direct offering for a total purchase price of approximately $5.0 million.</w:t>
      </w:r>
    </w:p>
    <w:p>
      <w:pPr>
        <w:spacing w:after="0" w:line="14" w:lineRule="exact"/>
        <w:rPr>
          <w:rFonts w:ascii="Times New Roman" w:cs="Times New Roman" w:eastAsia="Times New Roman" w:hAnsi="Times New Roman"/>
          <w:sz w:val="12"/>
          <w:szCs w:val="12"/>
          <w:color w:val="008000"/>
        </w:rPr>
      </w:pPr>
    </w:p>
    <w:p>
      <w:pPr>
        <w:ind w:left="60" w:right="80" w:hanging="7"/>
        <w:spacing w:after="0" w:line="260" w:lineRule="auto"/>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of record by GMS Ventures. Ghiath M. Sukhtian ("Ghiath Sukhtian"), a natural person, is the holder of a controlling interest in GMS Ventures. GMS Ventures has designated two representatives to serve on the Issuer's board of directors. Therefore, each of GMS Ventures and Ghiath Sukhtian may be deemed a director by deputization.</w:t>
      </w:r>
    </w:p>
    <w:p>
      <w:pPr>
        <w:spacing w:after="0" w:line="14" w:lineRule="exact"/>
        <w:rPr>
          <w:rFonts w:ascii="Times New Roman" w:cs="Times New Roman" w:eastAsia="Times New Roman" w:hAnsi="Times New Roman"/>
          <w:sz w:val="12"/>
          <w:szCs w:val="12"/>
          <w:color w:val="008000"/>
        </w:rPr>
      </w:pPr>
    </w:p>
    <w:p>
      <w:pPr>
        <w:ind w:left="60" w:right="80" w:hanging="7"/>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virtue of the relationships described above in Footnote 2, Ghiath Sukhtian may be deemed to have voting and investment power with respect to the securities held by GMS Ventures noted above and as a result may be deemed to beneficially own such securities for purposes of Rule 13d-3 under the Securities Exchange Act of 1934, as amended (the "Exchange Act"). The Reporting Persons disclaim beneficial ownership of the securities reported herein for purposes of Rule 16a-1(a) under the Exchange Act, except to the extent of its or his pecuniary interest therein, if any. This report shall not be deemed an admission that any of the Reporting Persons are the beneficial owners of such securities for the purpose of Section 16 of the Exchange Act, or for any other purpose.</w:t>
      </w:r>
    </w:p>
    <w:p>
      <w:pPr>
        <w:spacing w:after="0" w:line="26" w:lineRule="exact"/>
        <w:rPr>
          <w:rFonts w:ascii="Times New Roman" w:cs="Times New Roman" w:eastAsia="Times New Roman" w:hAnsi="Times New Roman"/>
          <w:sz w:val="12"/>
          <w:szCs w:val="12"/>
          <w:color w:val="008000"/>
        </w:rPr>
      </w:pPr>
    </w:p>
    <w:p>
      <w:pPr>
        <w:ind w:left="60" w:hanging="7"/>
        <w:spacing w:after="0" w:line="260" w:lineRule="auto"/>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in Table II above involved the amendment of the outstanding Tranche A warrants issued on January 16, 2025 to reduce the exercise price from $2.26 per share to $0.5855 per share. The amendment is reported above as the cancellation of the old warrant and the acquisition of a new one.</w:t>
      </w:r>
    </w:p>
    <w:p>
      <w:pPr>
        <w:spacing w:after="0" w:line="14" w:lineRule="exact"/>
        <w:rPr>
          <w:rFonts w:ascii="Times New Roman" w:cs="Times New Roman" w:eastAsia="Times New Roman" w:hAnsi="Times New Roman"/>
          <w:sz w:val="12"/>
          <w:szCs w:val="12"/>
          <w:color w:val="008000"/>
        </w:rPr>
      </w:pPr>
    </w:p>
    <w:p>
      <w:pPr>
        <w:ind w:left="60" w:hanging="7"/>
        <w:spacing w:after="0" w:line="260" w:lineRule="auto"/>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in Table II above involved the amendment of the outstanding Tranche B warrants issued on January 16, 2025 to reduce the exercise price from $2.26 per share to $0.5855 per share. The amendment is reported above as the cancellation of the old warrant and the acquisition of a new one.</w:t>
      </w:r>
    </w:p>
    <w:p>
      <w:pPr>
        <w:spacing w:after="0" w:line="14" w:lineRule="exact"/>
        <w:rPr>
          <w:rFonts w:ascii="Times New Roman" w:cs="Times New Roman" w:eastAsia="Times New Roman" w:hAnsi="Times New Roman"/>
          <w:sz w:val="12"/>
          <w:szCs w:val="12"/>
          <w:color w:val="008000"/>
        </w:rPr>
      </w:pPr>
    </w:p>
    <w:p>
      <w:pPr>
        <w:ind w:left="60" w:right="140" w:hanging="7"/>
        <w:spacing w:after="0" w:line="260" w:lineRule="auto"/>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in Table II above involved the amendment of the outstanding warrants issued on May 27, 2025 to reduce the exercise price from $1.40 per share to $0.5855 per share. The amendment is reported above as the cancellation of the old warrant and the acquisition of a new one.</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/s/ Ghiath M. Sukhtian,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1099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99185" cy="7620"/>
                    </a:xfrm>
                    <a:prstGeom prst="rect">
                      <a:avLst/>
                    </a:prstGeom>
                    <a:noFill/>
                  </pic:spPr>
                </pic:pic>
              </a:graphicData>
            </a:graphic>
          </wp:anchor>
        </w:drawing>
      </w:r>
    </w:p>
    <w:p>
      <w:pPr>
        <w:ind w:left="6620"/>
        <w:spacing w:after="0"/>
        <w:tabs>
          <w:tab w:leader="none" w:pos="8800" w:val="left"/>
        </w:tabs>
        <w:rPr>
          <w:sz w:val="20"/>
          <w:szCs w:val="20"/>
          <w:color w:val="auto"/>
        </w:rPr>
      </w:pPr>
      <w:r>
        <w:rPr>
          <w:rFonts w:ascii="Times New Roman" w:cs="Times New Roman" w:eastAsia="Times New Roman" w:hAnsi="Times New Roman"/>
          <w:sz w:val="16"/>
          <w:szCs w:val="16"/>
          <w:color w:val="0000FF"/>
        </w:rPr>
        <w:t>Lawrence Kenyon, Attorney-in-</w:t>
      </w:r>
      <w:r>
        <w:rPr>
          <w:sz w:val="20"/>
          <w:szCs w:val="20"/>
          <w:color w:val="auto"/>
        </w:rPr>
        <w:tab/>
      </w:r>
      <w:r>
        <w:rPr>
          <w:rFonts w:ascii="Times New Roman" w:cs="Times New Roman" w:eastAsia="Times New Roman" w:hAnsi="Times New Roman"/>
          <w:sz w:val="15"/>
          <w:szCs w:val="15"/>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-15240</wp:posOffset>
            </wp:positionV>
            <wp:extent cx="18529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5293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-15240</wp:posOffset>
            </wp:positionV>
            <wp:extent cx="1714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71450" cy="7620"/>
                    </a:xfrm>
                    <a:prstGeom prst="rect">
                      <a:avLst/>
                    </a:prstGeom>
                    <a:noFill/>
                  </pic:spPr>
                </pic:pic>
              </a:graphicData>
            </a:graphic>
          </wp:anchor>
        </w:drawing>
      </w:r>
    </w:p>
    <w:p>
      <w:pPr>
        <w:spacing w:after="0" w:line="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/s/ GMS Ventures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8756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75665" cy="7620"/>
                    </a:xfrm>
                    <a:prstGeom prst="rect">
                      <a:avLst/>
                    </a:prstGeom>
                    <a:noFill/>
                  </pic:spPr>
                </pic:pic>
              </a:graphicData>
            </a:graphic>
          </wp:anchor>
        </w:drawing>
      </w:r>
    </w:p>
    <w:p>
      <w:pPr>
        <w:ind w:left="6620"/>
        <w:spacing w:after="0"/>
        <w:tabs>
          <w:tab w:leader="none" w:pos="8800" w:val="left"/>
        </w:tabs>
        <w:rPr>
          <w:sz w:val="20"/>
          <w:szCs w:val="20"/>
          <w:color w:val="auto"/>
        </w:rPr>
      </w:pPr>
      <w:r>
        <w:rPr>
          <w:rFonts w:ascii="Times New Roman" w:cs="Times New Roman" w:eastAsia="Times New Roman" w:hAnsi="Times New Roman"/>
          <w:sz w:val="16"/>
          <w:szCs w:val="16"/>
          <w:color w:val="0000FF"/>
        </w:rPr>
        <w:t>Investments, By: Lawrence</w:t>
      </w:r>
      <w:r>
        <w:rPr>
          <w:sz w:val="20"/>
          <w:szCs w:val="20"/>
          <w:color w:val="auto"/>
        </w:rPr>
        <w:tab/>
      </w:r>
      <w:r>
        <w:rPr>
          <w:rFonts w:ascii="Times New Roman" w:cs="Times New Roman" w:eastAsia="Times New Roman" w:hAnsi="Times New Roman"/>
          <w:sz w:val="15"/>
          <w:szCs w:val="15"/>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-15240</wp:posOffset>
            </wp:positionV>
            <wp:extent cx="18529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85293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Kenyon,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-15240</wp:posOffset>
            </wp:positionV>
            <wp:extent cx="10331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33145" cy="7620"/>
                    </a:xfrm>
                    <a:prstGeom prst="rect">
                      <a:avLst/>
                    </a:prstGeom>
                    <a:noFill/>
                  </pic:spPr>
                </pic:pic>
              </a:graphicData>
            </a:graphic>
          </wp:anchor>
        </w:drawing>
      </w:r>
    </w:p>
    <w:p>
      <w:pPr>
        <w:spacing w:after="0" w:line="27"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60" w:right="3920" w:hanging="7"/>
        <w:spacing w:after="0" w:line="314" w:lineRule="auto"/>
        <w:tabs>
          <w:tab w:leader="none" w:pos="18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40" w:top="11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3" Type="http://schemas.openxmlformats.org/officeDocument/2006/relationships/hyperlink" Target="http://www.sec.gov/cgi-bin/browse-edgar?action=getcompany&amp;CIK=0001717441" TargetMode="External"/><Relationship Id="rId14" Type="http://schemas.openxmlformats.org/officeDocument/2006/relationships/hyperlink" Target="http://www.sec.gov/cgi-bin/browse-edgar?action=getcompany&amp;CIK=0001649989" TargetMode="External"/><Relationship Id="rId15" Type="http://schemas.openxmlformats.org/officeDocument/2006/relationships/hyperlink" Target="http://www.sec.gov/cgi-bin/browse-edgar?action=getcompany&amp;CIK=0001804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2026-06-01T20:31:30Z</dcterms:created>
  <dcterms:modified xsi:type="dcterms:W3CDTF">2026-06-01T20:31:30Z</dcterms:modified>
</cp:coreProperties>
</file>