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As 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333-278340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142875</wp:posOffset>
            </wp:positionV>
            <wp:extent cx="3086100" cy="891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610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8,539,709 Shares of Common Stock</w:t>
      </w:r>
    </w:p>
    <w:p>
      <w:pPr>
        <w:spacing w:after="0" w:line="22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this prospectus supplement and accompanying prospectus, we are offering 8,539,709 shares of our common stock, par value $0.01 per share, to a single accredited institutional investor, or the purchaser. The offering price for each share of common stock is $0.5855. The shares of common stock offered hereby are being sold directly by us without the use of underwriters or agents.</w:t>
      </w:r>
    </w:p>
    <w:p>
      <w:pPr>
        <w:spacing w:after="0" w:line="176"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and effective upon the closing of, this offering, we have agreed to amend the terms of outstanding warrants, or the amended warrants, to purchase up to an aggregate of 15,488,570 shares of common stock previously issued to the purchaser in January 2025 and May 2025, with a weighted average exercise price of $1.78 per share, such that the amended warrants will have a reduced exercise price of $0.5855 per share. Other than as described herein, the terms of the amended warrants remain unchanged.</w:t>
      </w:r>
    </w:p>
    <w:p>
      <w:pPr>
        <w:spacing w:after="0" w:line="180"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“OTLK.” On May 27, 2026, the last reported sale price of our common stock was $0.5855 per share.</w:t>
      </w:r>
    </w:p>
    <w:p>
      <w:pPr>
        <w:spacing w:after="0" w:line="162"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under the federal securities laws and are subject to reduced public company reporting requirements. See the section entitled “Prospectus Supplement Summary—Implications of Being a Smaller Reporting Company.”</w:t>
      </w:r>
    </w:p>
    <w:p>
      <w:pPr>
        <w:spacing w:after="0" w:line="158"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making an investment decision, please read the information in “Risk Factors” beginning on page S-8 of this prospectus supplement and in our filings incorporated by reference into this prospectus supplement and the accompanying prospectus.</w:t>
      </w:r>
    </w:p>
    <w:p>
      <w:pPr>
        <w:spacing w:after="0" w:line="171"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the securities to the purchaser is expected on or about May 29, 2026, subject to satisfaction of customary closing conditions.</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Prospectus supplement dated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3"/>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8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2200" w:type="dxa"/>
            <w:vAlign w:val="bottom"/>
            <w:tcBorders>
              <w:right w:val="single" w:sz="8" w:color="CCEEFF"/>
            </w:tcBorders>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0000EE"/>
                <w:w w:val="73"/>
              </w:rPr>
              <w:t>S-ii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200" w:type="dxa"/>
            <w:vAlign w:val="bottom"/>
          </w:tcPr>
          <w:p>
            <w:pPr>
              <w:spacing w:after="0"/>
              <w:rPr>
                <w:sz w:val="15"/>
                <w:szCs w:val="15"/>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0000EE"/>
                <w:w w:val="71"/>
              </w:rPr>
              <w:t>S-iii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5560" w:type="dxa"/>
            <w:vAlign w:val="bottom"/>
            <w:gridSpan w:val="6"/>
            <w:shd w:val="clear" w:color="auto" w:fill="CCEEFF"/>
          </w:tcPr>
          <w:p>
            <w:pPr>
              <w:spacing w:after="0"/>
              <w:rPr>
                <w:sz w:val="15"/>
                <w:szCs w:val="15"/>
                <w:color w:val="auto"/>
              </w:rPr>
            </w:pPr>
          </w:p>
        </w:tc>
        <w:tc>
          <w:tcPr>
            <w:tcW w:w="2200" w:type="dxa"/>
            <w:vAlign w:val="bottom"/>
            <w:tcBorders>
              <w:right w:val="single" w:sz="8" w:color="CCEEFF"/>
            </w:tcBorders>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0000EE"/>
                <w:w w:val="71"/>
              </w:rPr>
              <w:t>S-1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3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560" w:type="dxa"/>
            <w:vAlign w:val="bottom"/>
            <w:gridSpan w:val="6"/>
          </w:tcPr>
          <w:p>
            <w:pPr>
              <w:spacing w:after="0"/>
              <w:rPr>
                <w:sz w:val="15"/>
                <w:szCs w:val="15"/>
                <w:color w:val="auto"/>
              </w:rPr>
            </w:pPr>
          </w:p>
        </w:tc>
        <w:tc>
          <w:tcPr>
            <w:tcW w:w="2200" w:type="dxa"/>
            <w:vAlign w:val="bottom"/>
          </w:tcPr>
          <w:p>
            <w:pPr>
              <w:spacing w:after="0"/>
              <w:rPr>
                <w:sz w:val="15"/>
                <w:szCs w:val="15"/>
                <w:color w:val="auto"/>
              </w:rPr>
            </w:pPr>
          </w:p>
        </w:tc>
        <w:tc>
          <w:tcPr>
            <w:tcW w:w="18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0000EE"/>
                <w:w w:val="71"/>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200" w:type="dxa"/>
            <w:vAlign w:val="bottom"/>
            <w:tcBorders>
              <w:right w:val="single" w:sz="8" w:color="CCEEFF"/>
            </w:tcBorders>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70"/>
              </w:rPr>
              <w:t>S-14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7280" w:type="dxa"/>
            <w:vAlign w:val="bottom"/>
            <w:tcBorders>
              <w:top w:val="single" w:sz="8" w:color="CCEEFF"/>
            </w:tcBorders>
            <w:gridSpan w:val="14"/>
          </w:tcPr>
          <w:p>
            <w:pPr>
              <w:spacing w:after="0"/>
              <w:rPr>
                <w:sz w:val="15"/>
                <w:szCs w:val="15"/>
                <w:color w:val="auto"/>
              </w:rPr>
            </w:pPr>
          </w:p>
        </w:tc>
        <w:tc>
          <w:tcPr>
            <w:tcW w:w="220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right"/>
              <w:spacing w:after="0"/>
              <w:rPr>
                <w:sz w:val="20"/>
                <w:szCs w:val="20"/>
                <w:color w:val="auto"/>
              </w:rPr>
            </w:pPr>
            <w:r>
              <w:rPr>
                <w:rFonts w:ascii="Times New Roman" w:cs="Times New Roman" w:eastAsia="Times New Roman" w:hAnsi="Times New Roman"/>
                <w:sz w:val="12"/>
                <w:szCs w:val="12"/>
                <w:color w:val="0000EE"/>
                <w:w w:val="70"/>
              </w:rPr>
              <w:t>S-15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4680" w:type="dxa"/>
            <w:vAlign w:val="bottom"/>
            <w:tcBorders>
              <w:bottom w:val="single" w:sz="8" w:color="CCEEFF"/>
            </w:tcBorders>
            <w:gridSpan w:val="3"/>
            <w:shd w:val="clear" w:color="auto" w:fill="CCEEFF"/>
          </w:tcPr>
          <w:p>
            <w:pPr>
              <w:spacing w:after="0"/>
              <w:rPr>
                <w:sz w:val="17"/>
                <w:szCs w:val="17"/>
                <w:color w:val="auto"/>
              </w:rPr>
            </w:pPr>
          </w:p>
        </w:tc>
        <w:tc>
          <w:tcPr>
            <w:tcW w:w="22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70"/>
              </w:rPr>
              <w:t>S-16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200" w:type="dxa"/>
            <w:vAlign w:val="bottom"/>
          </w:tcPr>
          <w:p>
            <w:pPr>
              <w:spacing w:after="0"/>
              <w:rPr>
                <w:sz w:val="15"/>
                <w:szCs w:val="15"/>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0000EE"/>
                <w:w w:val="70"/>
              </w:rPr>
              <w:t>S-17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200" w:type="dxa"/>
            <w:vAlign w:val="bottom"/>
            <w:tcBorders>
              <w:right w:val="single" w:sz="8" w:color="CCEEFF"/>
            </w:tcBorders>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70"/>
              </w:rPr>
              <w:t>S-18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400" w:type="dxa"/>
            <w:vAlign w:val="bottom"/>
            <w:tcBorders>
              <w:top w:val="single" w:sz="8" w:color="CCEEFF"/>
            </w:tcBorders>
            <w:gridSpan w:val="15"/>
          </w:tcPr>
          <w:p>
            <w:pPr>
              <w:spacing w:after="0"/>
              <w:rPr>
                <w:sz w:val="15"/>
                <w:szCs w:val="15"/>
                <w:color w:val="auto"/>
              </w:rPr>
            </w:pPr>
          </w:p>
        </w:tc>
        <w:tc>
          <w:tcPr>
            <w:tcW w:w="220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right"/>
              <w:spacing w:after="0"/>
              <w:rPr>
                <w:sz w:val="20"/>
                <w:szCs w:val="20"/>
                <w:color w:val="auto"/>
              </w:rPr>
            </w:pPr>
            <w:r>
              <w:rPr>
                <w:rFonts w:ascii="Times New Roman" w:cs="Times New Roman" w:eastAsia="Times New Roman" w:hAnsi="Times New Roman"/>
                <w:sz w:val="12"/>
                <w:szCs w:val="12"/>
                <w:color w:val="0000EE"/>
                <w:w w:val="70"/>
              </w:rPr>
              <w:t>S-18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200" w:type="dxa"/>
            <w:vAlign w:val="bottom"/>
            <w:tcBorders>
              <w:right w:val="single" w:sz="8" w:color="CCEEFF"/>
            </w:tcBorders>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70"/>
              </w:rPr>
              <w:t>S-18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200" w:type="dxa"/>
            <w:vAlign w:val="bottom"/>
          </w:tcPr>
          <w:p>
            <w:pPr>
              <w:spacing w:after="0"/>
              <w:rPr>
                <w:sz w:val="15"/>
                <w:szCs w:val="15"/>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0000EE"/>
                <w:w w:val="70"/>
              </w:rPr>
              <w:t>S-19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3"/>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620" w:type="dxa"/>
            <w:vAlign w:val="bottom"/>
            <w:tcBorders>
              <w:bottom w:val="single" w:sz="8" w:color="CCEEFF"/>
            </w:tcBorders>
            <w:gridSpan w:val="11"/>
            <w:shd w:val="clear" w:color="auto" w:fill="CCEEFF"/>
          </w:tcPr>
          <w:p>
            <w:pPr>
              <w:spacing w:after="0"/>
              <w:rPr>
                <w:sz w:val="17"/>
                <w:szCs w:val="17"/>
                <w:color w:val="auto"/>
              </w:rPr>
            </w:pPr>
          </w:p>
        </w:tc>
        <w:tc>
          <w:tcPr>
            <w:tcW w:w="22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79"/>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3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THE SECURITIES WE MAY OFFER</w:t>
            </w:r>
          </w:p>
        </w:tc>
        <w:tc>
          <w:tcPr>
            <w:tcW w:w="6060" w:type="dxa"/>
            <w:vAlign w:val="bottom"/>
            <w:gridSpan w:val="9"/>
            <w:shd w:val="clear" w:color="auto" w:fill="CCEEFF"/>
          </w:tcPr>
          <w:p>
            <w:pPr>
              <w:spacing w:after="0"/>
              <w:rPr>
                <w:sz w:val="15"/>
                <w:szCs w:val="15"/>
                <w:color w:val="auto"/>
              </w:rPr>
            </w:pPr>
          </w:p>
        </w:tc>
        <w:tc>
          <w:tcPr>
            <w:tcW w:w="23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060" w:type="dxa"/>
            <w:vAlign w:val="bottom"/>
            <w:gridSpan w:val="9"/>
          </w:tcPr>
          <w:p>
            <w:pPr>
              <w:spacing w:after="0"/>
              <w:rPr>
                <w:sz w:val="15"/>
                <w:szCs w:val="15"/>
                <w:color w:val="auto"/>
              </w:rPr>
            </w:pPr>
          </w:p>
        </w:tc>
        <w:tc>
          <w:tcPr>
            <w:tcW w:w="23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520" w:type="dxa"/>
            <w:vAlign w:val="bottom"/>
          </w:tcPr>
          <w:p>
            <w:pPr>
              <w:spacing w:after="0"/>
              <w:rPr>
                <w:sz w:val="15"/>
                <w:szCs w:val="15"/>
                <w:color w:val="auto"/>
              </w:rPr>
            </w:pPr>
          </w:p>
        </w:tc>
        <w:tc>
          <w:tcPr>
            <w:tcW w:w="23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980" w:type="dxa"/>
            <w:vAlign w:val="bottom"/>
            <w:tcBorders>
              <w:bottom w:val="single" w:sz="8" w:color="CCEEFF"/>
            </w:tcBorders>
            <w:gridSpan w:val="8"/>
            <w:shd w:val="clear" w:color="auto" w:fill="CCEEFF"/>
          </w:tcPr>
          <w:p>
            <w:pPr>
              <w:spacing w:after="0"/>
              <w:rPr>
                <w:sz w:val="17"/>
                <w:szCs w:val="17"/>
                <w:color w:val="auto"/>
              </w:rPr>
            </w:pPr>
          </w:p>
        </w:tc>
        <w:tc>
          <w:tcPr>
            <w:tcW w:w="22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3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3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LEGAL OWNERSHIP OF SECURITIES</w:t>
            </w:r>
          </w:p>
        </w:tc>
        <w:tc>
          <w:tcPr>
            <w:tcW w:w="23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800" w:type="dxa"/>
            <w:vAlign w:val="bottom"/>
            <w:tcBorders>
              <w:bottom w:val="single" w:sz="8" w:color="CCEEFF"/>
            </w:tcBorders>
            <w:gridSpan w:val="13"/>
            <w:shd w:val="clear" w:color="auto" w:fill="CCEEFF"/>
          </w:tcPr>
          <w:p>
            <w:pPr>
              <w:spacing w:after="0"/>
              <w:rPr>
                <w:sz w:val="17"/>
                <w:szCs w:val="17"/>
                <w:color w:val="auto"/>
              </w:rPr>
            </w:pPr>
          </w:p>
        </w:tc>
        <w:tc>
          <w:tcPr>
            <w:tcW w:w="22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3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080" w:type="dxa"/>
            <w:vAlign w:val="bottom"/>
            <w:tcBorders>
              <w:bottom w:val="single" w:sz="8" w:color="CCEEFF"/>
            </w:tcBorders>
            <w:gridSpan w:val="18"/>
            <w:shd w:val="clear" w:color="auto" w:fill="CCEEFF"/>
          </w:tcPr>
          <w:p>
            <w:pPr>
              <w:spacing w:after="0"/>
              <w:rPr>
                <w:sz w:val="17"/>
                <w:szCs w:val="17"/>
                <w:color w:val="auto"/>
              </w:rPr>
            </w:pPr>
          </w:p>
        </w:tc>
        <w:tc>
          <w:tcPr>
            <w:tcW w:w="22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3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offering of our securities. Before buying any of the securities that we are offering, we urge you to carefully read this prospectus supplement and the accompanying prospectus, together with the information incorporated by reference as described in the section titled “Incorporation of Certain Information by Reference” in this prospectus supplement and the accompanying prospectus and the information in any free writing prospectus that we may authorize for use in connection with this offering. These documents contain important information that you should consider when making your investment decision.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our securities and also adds to and updates information contained in the accompanying prospectus and the documents incorporated by reference into this prospectus supplement and the accompanying prospectus. The second part, the accompanying prospectus dated April 5, 2024,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the accompanying prospectus —the statement in the document having the later date modifies or supersedes the earlier statement.</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different than or inconsistent with the information contained in or incorporated by reference into this prospectus supplement, the accompanying prospectus or in any free writing prospectus that we have authorized for use in connection with this offering. We do not take responsibility for, and can provide no assurance as to the reliability of, any other information that others may give you. We are not making an offer to sell these securities in any jurisdiction where the offer or sale is not permitted. You should assume that the information appearing in this prospectus supplement, the accompanying prospectus, the documents incorporated by reference into this prospectus supplement and the accompanying prospectus, and in any free writing prospectus that we have authorized for use in connection with this offering, is accurate only as of the date of those respective documents, regardless of the time of delivery of those respective documents. Our business, financial condition, results of operations and prospects may have changed since those dates. You should read this prospectus supplement, the accompanying prospectus, the documents incorporated by reference into this prospectus supplement and the accompanying prospectus, and any free writing prospectus that we have authorized for use in connection with this offering, in their entirety before making an investment decision regarding the securities we are offering. You should also read and consider the information in the documents to which we have referred you to in the section of this prospectus supplement entitled “Where You Can Find More Information” and “Incorporation of Certain Information by Reference.”</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in this prospectus supplement, the accompanying prospectus and the information incorporated by reference herein and therein to “Outlook,” “the company,” “we,” “us,” “our” and similar references refer to Outlook Therapeutics, Inc., a Delaware corporation, and its subsidiaries on a consolidated basis.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and therein by reference include trademarks, trade names and service marks owned by us or other companies. The Outlook logo, Oncobiologics logo, LYTENAVA and other trademarks or service marks of Outlook Therapeutics, Inc. appearing in this prospectus supplement, the accompanying prospectus, and the information incorporated herein and therein by reference are the property of Outlook Therapeutics, Inc. This prospectus supplement, the accompanying prospectus, and the information incorporated herein and therein by reference also contains registered marks, trademarks and trade names of other companies. All other trademarks, registered marks and trade names appearing in this prospectus supplement, the accompanying prospectus, and the information incorporated herein and therein by reference are the property of their respective 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the documents we have filed with the SEC that are incorporated by reference and any free writing prospectus that we have authorized for use in connection with this offering contain “forward-looking statements” within the meaning of Section 27A of the Securities Act, and Section 21E of the Securities Exchange Act of 1934, as amended, or the Exchange Act. These statements relate to our future events, including our anticipated operations, research, development, manufacturing and commercialization activities, clinical trials, operating results and financial condition. These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8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obtain and maintain regulatory approval for ONS-5010/LYTENAVA in the United States and other markets;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remedy the deficiencies identified in the most recent complete response letter issued by the FDA;</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successfully commercialize and generate revenues from the sale of LYTENAVA™ (bevacizumab gamma) in the United Kingdom and European Union;</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rate and degree of market acceptance of our current and future product candidates, including our commercialization strategy and manufacturing capabilities for ONS-5010/LYTENAVA;</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fund our working capital requirements, the sufficiency of our current cash resources and our need for additional funding;</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the potential market size and the size of the patient populations for our product candidates, if approved, for commercial use;</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results of our clinical trials will be sufficient to support domestic or global regulatory approvals;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initiation, timing, progress and results of our clinical trials of our lead product candidate, ONS-5010/LYTENAVA;</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reliance on our contract manufacturing organizations and other vendors;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maintain and establish collaborations or obtain additional funding;</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compete in the markets we serve;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factors that may impact our financial results;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anticipated net proceeds from this offering.</w:t>
      </w:r>
    </w:p>
    <w:p>
      <w:pPr>
        <w:spacing w:after="0" w:line="224" w:lineRule="exact"/>
        <w:rPr>
          <w:sz w:val="20"/>
          <w:szCs w:val="20"/>
          <w:color w:val="auto"/>
        </w:rPr>
      </w:pPr>
    </w:p>
    <w:p>
      <w:pPr>
        <w:jc w:val="both"/>
        <w:ind w:firstLine="3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some cases, you can identify forward-looking statements by use of future dates or by terms such as: “anticipates,” “believes,” “continues,” “could,” “estimates,” “expects,” “intends,” “may,” “plans,” “seeks,” “should,” “will” and similar expressions intended to identify forward-looking statements. These statements reflect our current views with respect to future events, are based on assumptions and are subject to risks and uncertainties. Given these risks and uncertainties, you should not place undue reliance on these forward-looking statements. We discuss many of these risks in greater detail in “Risk Factors” contained on page S-8 of this prospectus supplement and under the section titled “Risk Factors” contained in our Annual Report on Form 10-K for the fiscal year ended September 30, 2025, filed with the SEC on </w:t>
      </w:r>
      <w:hyperlink r:id="rId12">
        <w:r>
          <w:rPr>
            <w:rFonts w:ascii="Times New Roman" w:cs="Times New Roman" w:eastAsia="Times New Roman" w:hAnsi="Times New Roman"/>
            <w:sz w:val="18"/>
            <w:szCs w:val="18"/>
            <w:u w:val="single" w:color="auto"/>
            <w:color w:val="0000EE"/>
          </w:rPr>
          <w:t>December 19, 2025</w:t>
        </w:r>
      </w:hyperlink>
      <w:r>
        <w:rPr>
          <w:rFonts w:ascii="Times New Roman" w:cs="Times New Roman" w:eastAsia="Times New Roman" w:hAnsi="Times New Roman"/>
          <w:sz w:val="18"/>
          <w:szCs w:val="18"/>
          <w:color w:val="auto"/>
        </w:rPr>
        <w:t>, as updated by our subsequent filings, which are incorporated by reference into this prospectus supplement and the accompanying prospectus.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carefully read this prospectus supplement, the accompanying prospectus and the documents incorporated herein and therein by reference as described in the section titled “Incorporation of Certain Information by Reference” in this prospectus supplement completely and with the understanding that our actual future results may be materially different from what we expect. We qualify all of the forward-looking statements in the foregoing documents by these cautionary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776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6130" cy="677608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This summary highlights selected information contained elsewhere in this prospectus supplement and the accompanying prospectus and in the documents we incorporate by reference. This summary does not contain all of the information you should consider before investing in our securities. You should read this entire prospectus supplement and the accompanying prospectus carefully, especially the risks of investing in our securities discussed under “Risk Factors” beginning on page S-8 of this prospectus supplement and under similar headings in our Annual Report on Form 10-K for the fiscal year ended September 30, 2025, filed with the SEC on </w:t>
      </w:r>
      <w:hyperlink r:id="rId12">
        <w:r>
          <w:rPr>
            <w:rFonts w:ascii="Times New Roman" w:cs="Times New Roman" w:eastAsia="Times New Roman" w:hAnsi="Times New Roman"/>
            <w:sz w:val="18"/>
            <w:szCs w:val="18"/>
            <w:i w:val="1"/>
            <w:iCs w:val="1"/>
            <w:u w:val="single" w:color="auto"/>
            <w:color w:val="0000EE"/>
          </w:rPr>
          <w:t>December 19, 2025</w:t>
        </w:r>
      </w:hyperlink>
      <w:r>
        <w:rPr>
          <w:rFonts w:ascii="Times New Roman" w:cs="Times New Roman" w:eastAsia="Times New Roman" w:hAnsi="Times New Roman"/>
          <w:sz w:val="18"/>
          <w:szCs w:val="18"/>
          <w:i w:val="1"/>
          <w:iCs w:val="1"/>
          <w:color w:val="auto"/>
        </w:rPr>
        <w:t>, as updated by our subsequent filings, which are incorporated by reference in this prospectus supplement and accompanying prospectus, along with our consolidated financial statements and notes to those consolidated financial statements and the other information incorporated by reference in this prospectus supplement and the accompanying prospectus, before making an investment decision.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33"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We are a biopharmaceutical company that has developed LYTENAVA</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(bevacizumab gamma) as the first and only ophthalmic formulation of bevacizumab approved by the European Commission in the European Union, or EU, and the Medicines and Healthcare products Regulatory Agency, or MHRA, in the United Kingdom, or UK, for use in adults for the treatment of wet age-related macular degeneration, or wet AMD. In June 2025, we launched directly into the initial markets of Germany and the UK and are planning for launches in other EU countries either directly or with a licensing partner. Additionally, we are attempting to receive approval for ONS-5010/LYTENAVA by the U.S. Food and Drug Administration, or FDA, for the use of ONS-5010/LYTENAVA as a treatment for wet AMD in the United States. If approved in the U.S., our goal is to also launch directly in the United States as the first and only approved ophthalmic bevacizumab for the treatment of wet AMD. In addition to Europe and the United States, we may seek approval to launch the product in other markets outside of Europe and the U.S. either directly or with licensing partners.</w:t>
      </w:r>
    </w:p>
    <w:p>
      <w:pPr>
        <w:spacing w:after="0" w:line="19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Bevacizumab is a full-length, humanized anti-VEGF (Vascular Endothelial Growth Factor) recombinant monoclonal antibody, or mAb, that inhibits VEGF and associated angiogenic activity. Prior to the approval of ONS-5010/LYTENAVA in the EU and UK, bevacizumab had only been approved for use in the treatment of various forms of cancer and had not been optimized for use in the treatment of retina diseases. Because there previously were no approved bevacizumab products for the treatment of retinal diseases in the United States and other major markets, we submitted standard biologic therapeutic applications and are not using the biosimilar drug regulatory pathway that would be required if bevacizumab were an approved drug for the targeted disease. Off-label repackaged bevacizumab is a frequently used first-line anti-VEGF treatment in Europe (approximately 2.8 million injections annually) and the United States (approximately 2.7 million injections annually) based on data compiled from various sources (Citeline (2023), Global Data (2023) and Market Scope (2022); ASRS 2024 Membership Survey; Market Scope 2024 US Retina Quarterly Updates; GlobalData: Age-Related Macular Degeneration: Global Drug Forecast and Market Analysis to 2028 (April 2020)). We believe ONS-5010/LYTENAVA has potential to mitigate risks associated with off-label use of unapproved bevacizumab. We believe there is significant opportunity in Europe with a total anti-VEGF retina market estimated to be approximately $3.6 billion, including approximately 1.52 million treated patients and approximately 8.3 million total anti-VEGF units (Global Data (2023); Market Scope (2022); IQVIA MIDAS data Q3 2023; Graefe's Archive for Clinical and Experimental Ophthalmology (2020) 258:503–511). We similarly see significant opportunity in the United States, with an estimated $8.5 billion total anti-VEGF retina market, where 55% of physician state off-label repackaged bevacizumab is the preferred first-line product. It is estimated that 34% of the total anti-VEGF market is off-label bevacizumab (new and maintenance therapy) (Citeline (2023); Global Data (2023); Market Scope (2022); ASRS 2024 Membership Survey; Market Scope 2024 US Retina Quarterly Updates; GlobalData: Age-Related Macular Degeneration: Global Drug Forecast and Market Analysis to 2028 (April 2020)). We estimate the global market for anti-VEGF retina to be approximately $16 billion (Citeline (2023), Global Data (2023) and Market Scope (2022)).</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2024, the European Commission granted the Marketing Authorization for ONS-5010/LYTENAVA for the treatment of wet AMD in the EU. The decision applied automatically in all 27 EU Member States, and, within 30 days, also to Iceland, Norway and Liechtenstein. In July 2024, the MHRA granted marketing authorization for ONS-5010/LYTENAVA for the treatment of wet AMD in the UK under the new International Recognition Procedure, or IRP, which allows the MHRA to rely on an authorization received for the same product from one of MHRA’s specified Reference Regulators, or RRs, when considering an application for marketing authorization in the UK. ONS-5010/LYTENAVA is the first and only authorized ophthalmic formulation of bevacizumab for use in treating wet AMD in the EU and UK.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500" w:top="1130" w:right="519" w:bottom="1440" w:gutter="0" w:footer="0" w:header="0"/>
        </w:sectPr>
      </w:pPr>
    </w:p>
    <w:bookmarkStart w:id="5" w:name="page6"/>
    <w:bookmarkEnd w:id="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516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6130" cy="5516245"/>
                    </a:xfrm>
                    <a:prstGeom prst="rect">
                      <a:avLst/>
                    </a:prstGeom>
                    <a:noFill/>
                  </pic:spPr>
                </pic:pic>
              </a:graphicData>
            </a:graphic>
          </wp:anchor>
        </w:drawing>
        <w:t>Separately, in March 2022, we submitted a BLA to the FDA for ONS-5010/LYTENAVA for the treatment of wet AMD. In May 2022, we voluntarily withdrew our BLA to provide additional information requested by the FDA. We re-submitted the BLA to the FDA for ONS-5010/LYTENAVA in August 2022, and in October 2022, we received confirmation from the FDA that our BLA had been accepted for filing. In August 2023, we received a Complete Response Letter, or CRL, in which the FDA concluded it could not approve the BLA during this review cycle due to several chemical, manufacturing and control, or CMC, issues, open observations from pre-approval manufacturing inspections, and a lack of substantial evidence. At subsequent Type A meetings with the FDA, we learned that the FDA required the completion of an additional adequate and well-controlled clinical trial evaluating ONS-5010/LYTENAVA, as well as additional requested CMC data indicated in the CRL to approve ONS-5010/LYTENAVA for use in wet AMD.</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agreed to conduct an additional adequate and well-controlled clinical trial following discussions with the FDA in support of our BLA for ONS-5010/LYTENAVA. In December 2023, we submitted a Special Protocol Assessment, or SPA, to the FDA for this study (NORSE EIGHT) seeking confirmation that, if successful, it would address the FDA’s requirement for a second adequate and well-controlled clinical trial to support our planned resubmission of the ONS-5010/LYTENAVA BLA. In January 2024, we received confirmation that the FDA had reviewed and agreed upon the NORSE EIGHT trial protocol pursuant to the SPA. In November 2024, we reported that ONS-5010/LYTENAVA did not meet the pre-specified non-inferiority endpoint at week 8 set forth in the SPA. Analysis of the complete week 12 data set for NORSE EIGHT provided additional evidence of improvement in vision and biological activity. We resubmitted the BLA for ONS-5010/LYTENAVA in February 2025. On August 27, 2025, we received a second CRL from the FDA. This CRL included only one deficiency, for a lack of substantial evidence of effectiveness. In the CRL, the FDA advised that, because ONS-5010 did not meet the primary efficacy endpoint in NORSE EIGHT, it was recommended that confirmatory evidence of efficacy be submitted to support the application for ONS-5010. Additionally, the FDA reiterated that NORSE TWO met its primary endpoint for effectiveness. Following a September 2025 Type A meeting with the FDA, we resubmitted the BLA in October 2025. On December 31, 2025, we reported that we had received a third CRL in which the FDA noted that the additional mechanistic and natural history data information provided in the BLA resubmission does not alter the previous review conclusion that while the one adequate and well-controlled study demonstrated efficacy, and the FDA has again recommended that confirmatory evidence of efficacy be submitted to support the application. However, the FDA did not indicate in the CRL what type of confirmatory evidence would be acceptable. In March 2026, we conducted a Type A meeting with the FDA. In April 2026, we completed a Formal Dispute Resolution, or FDR, meeting with the Office of New Drugs, or the OND, at the FDA as part of our ongoing efforts to seek alignment with the FDA regarding regulatory pathways for ONS-5010. In May 2026, we announced that the FDA granted the appeal following completion of the FDR process with the OND. The FDA concluded that substantial evidence of effectiveness has been established for LYTENAVA™ for the treatment of neovascular age-related macular degeneration. As a result, we expect to resubmit the ONS-5010/LYTENAVA™ (bevacizumab-vikg) BLA in June 2026. If approved, we expect to receive 12 years of regulatory exclusivity in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Concurrent Warrant Amendment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and effective upon the closing of, this offering, we have agreed to amend the terms of outstanding warrants, or the amended warrants, to purchase up to an aggregate of 15,488,570 shares of common stock previously issued to the purchaser in January 2025 and May 2025, with a weighted average exercise price of $1.78 per share, such that the amended warrants will have a reduced exercise price of $0.5855 per share. Other than as described herein, the terms of the amended warrants remain unchanged.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500" w:top="1134"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927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April 2026 Offering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22, 2026, we entered into a securities purchase agreement, or the April 2026 Purchase Agreement, with certain institutional investors, pursuant to which we agreed to issue and sell (i) in a registered direct offering priced at-the-market under the rules of The Nasdaq Stock Market, or the April 2026 Registered Direct Offering, an aggregate of 16,129,033 shares of our common stock, and (ii) in a concurrent private placement, or the April 2026 Concurrent Private Placement and together with the April 2026 Registered Direct Offering, the April 2026 Offering, warrants to purchase an aggregate of 16,129,033 shares of our common stock. The combined purchase price of each share of common stock and accompanying common warrant was $0.31.</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common warrant has an exercise price of $0.31 per share and will become exercisable on the later of (i) the date of stockholder approval of the issuance of the common warrant shares and (ii) the effective date of an amendment to our restated certificate of incorporation to increase our authorized shares, or the Increase of Authorized Shares, in an amount equal to or greater than the number of common warrant shares, such later date, the Initial Exercise Date. The common warrants will expire on the date that is the fifth anniversary of the later of (i) the Initial Exercise Date and (ii) the date on which a resale registration statement becomes effective. We have agreed to hold a stockholder meeting within 90 days following closing to seek stockholder approval for the issuance of common warrant shares and the Increase of Authorized Shares.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exercise price and the number of shares issuable upon exercise of the common warrants are subject to customary adjustments in the case of stock dividends, stock splits, pro rata distributions, and similar events in respect of our common stock. A holder (together with its affiliates) of the common warrants will not be entitled to exercise any portion of any common warrant, which, upon giving effect to such exercise would cause the aggregate number of shares of our common stock beneficially owned by the holder (together with its affiliates) to exceed 4.99% (or, upon election of the holder, 9.99%) of the number of shares of the common stock outstanding immediately after giving effect to the exercise, subject to such holder’s rights under the common warrants to increase or decrease such percentage to another percentage not in excess of 9.99% upon notice from such holder (at least 61 days’ prior notice in the case of an increase).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2026 Warrant Amendment</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April 22, 2026, we entered into a warrant amendment, or the April 2026 Warrant Amendment, pursuant to which we agreed to amend certain outstanding common stock warrants to purchase 2,142,854 shares of common stock previously issued in January 2025 and held by an investor in the April 2026 Registered Direct Offering with an exercise price of $2.26 per share, such that the amended warrants, or the April 2026 Amended Warrants</w:t>
      </w:r>
    </w:p>
    <w:p>
      <w:pPr>
        <w:spacing w:after="0" w:line="1" w:lineRule="exact"/>
        <w:rPr>
          <w:sz w:val="20"/>
          <w:szCs w:val="20"/>
          <w:color w:val="auto"/>
        </w:rPr>
      </w:pPr>
    </w:p>
    <w:p>
      <w:pPr>
        <w:jc w:val="both"/>
        <w:ind w:firstLine="8"/>
        <w:spacing w:after="0" w:line="255" w:lineRule="auto"/>
        <w:tabs>
          <w:tab w:leader="none" w:pos="22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reduced exercise price of $0.31 per share, (ii) will be exercisable beginning on the effective date of stockholder approval of the issuance of the shares of common stock upon exercise of the April 2026 Amended Warrants and (iii) will expire five years from the effective date of such stockholder approval. Other than as described herein, the terms of the April 2026 Amended Warrants remain unchanged.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Sales Agreements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May 13, 2026, we entered into the Sales Agreement with H.C. Wainwright &amp; Co., LLC, as agent, pursuant to which we may issue and sell shares of our common stock having an aggregate offering price of up to $100,000,000.</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12, 2026, in connection with our entry into the Sales Agreement, we provided notice of termination of the Sales Agreement, dated May 16, 2023, between us and BTIG, LLC, or the Prior Sales Agreement. Such termination was effective May 12, 2026, and no further shares of common stock may be sold under the Prior Sales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500" w:top="1130"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573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t>Risks Associated with Our Business</w:t>
      </w:r>
    </w:p>
    <w:p>
      <w:pPr>
        <w:spacing w:after="0" w:line="229" w:lineRule="exact"/>
        <w:rPr>
          <w:sz w:val="20"/>
          <w:szCs w:val="20"/>
          <w:color w:val="auto"/>
        </w:rPr>
      </w:pPr>
    </w:p>
    <w:p>
      <w:pPr>
        <w:jc w:val="both"/>
        <w:ind w:firstLine="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business is subject to a number of risks of which you should be aware before making an investment decision. These risks are discussed more fully in the “Risk Factors” section of this prospectus supplement immediately following this prospectus supplement summary and in the “Risk Factors” sections in our Annual Report on Form 10-K for the fiscal year ended September 30, 2025, filed with the SEC on </w:t>
      </w:r>
      <w:hyperlink r:id="rId12">
        <w:r>
          <w:rPr>
            <w:rFonts w:ascii="Times New Roman" w:cs="Times New Roman" w:eastAsia="Times New Roman" w:hAnsi="Times New Roman"/>
            <w:sz w:val="18"/>
            <w:szCs w:val="18"/>
            <w:u w:val="single" w:color="auto"/>
            <w:color w:val="0000EE"/>
          </w:rPr>
          <w:t>December 19, 2025</w:t>
        </w:r>
      </w:hyperlink>
      <w:r>
        <w:rPr>
          <w:rFonts w:ascii="Times New Roman" w:cs="Times New Roman" w:eastAsia="Times New Roman" w:hAnsi="Times New Roman"/>
          <w:sz w:val="18"/>
          <w:szCs w:val="18"/>
          <w:color w:val="auto"/>
        </w:rPr>
        <w:t>, as updated by our subsequent filings which are incorporated by reference in this prospectus supplement and accompanying prospectus. These risks include the following:</w:t>
      </w:r>
    </w:p>
    <w:p>
      <w:pPr>
        <w:spacing w:after="0" w:line="183" w:lineRule="exact"/>
        <w:rPr>
          <w:sz w:val="20"/>
          <w:szCs w:val="20"/>
          <w:color w:val="auto"/>
        </w:rPr>
      </w:pPr>
    </w:p>
    <w:p>
      <w:pPr>
        <w:ind w:left="66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have incurred significant losses and negative cash flows from operations since our inception and expect to continue to incur significant losses and negative cash flows from operations for at least the next 12 months;</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have generated minimal revenue from product sales to date and have not generated material revenue from the sales of any product and may never be profitable;</w:t>
      </w:r>
    </w:p>
    <w:p>
      <w:pPr>
        <w:spacing w:after="0" w:line="162" w:lineRule="exact"/>
        <w:rPr>
          <w:rFonts w:ascii="Arial" w:cs="Arial" w:eastAsia="Arial" w:hAnsi="Arial"/>
          <w:sz w:val="18"/>
          <w:szCs w:val="18"/>
          <w:b w:val="1"/>
          <w:bCs w:val="1"/>
          <w:color w:val="auto"/>
        </w:rPr>
      </w:pPr>
    </w:p>
    <w:p>
      <w:pPr>
        <w:jc w:val="both"/>
        <w:ind w:left="660" w:hanging="328"/>
        <w:spacing w:after="0" w:line="258"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There is substantial doubt about our ability to continue as a going concern. We will need to raise substantial additional funding to complete the development and commercialization of ONS-5010/LYTENAVA™ (bevacizumab-gamma) outside of the EU and UK and support our operations until we are able to generate sufficient revenue from the sales of ONS-5010/LYTENAVA in the EU and UK. This additional funding may not be available on acceptable terms or at all. Failure to obtain this necessary capital when needed may force us to delay, limit or terminate our product development efforts or other operations;</w:t>
      </w:r>
    </w:p>
    <w:p>
      <w:pPr>
        <w:spacing w:after="0" w:line="18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Raising additional capital, including modifications to our existing convertible securities, may cause dilution to our securityholders, restrict our operations or require us to relinquish rights to our technologies or product candidates;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be unable to remedy the deficiencies identified in the most recent CRL issued by the FDA;</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need to enter into alliances with other companies that can provide capabilities and funds for the development and commercialization of product candidates. If we are unsuccessful in forming or maintaining these alliances on favorable terms, our business could be harmed;</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Due to our limited resources and access to capital, we have, and will continue to need to, prioritize development of certain product candidates, and these decisions may prove to have been wrong and may harm our business;</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Clinical drug development is a lengthy and expensive process and we may encounter substantial delays in our clinical trials or may fail to demonstrate safety and efficacy to the satisfaction of applicable regulatory authorities;</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development and commercialization of pharmaceutical products is subject to extensive regulation, and we may not obtain regulatory approvals for ONS-5010/LYTENAVA outside of the EU and UK or in any other indications for which we plan to develop the product, or any future product candidates, on a timely basis or at all;</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delays in the commencement or completion, or termination or suspension, of our planned or future clinical trials could result in increased costs to us, delay or limit our ability to generate revenue and adversely affect our commercial prospects;</w:t>
      </w:r>
    </w:p>
    <w:p>
      <w:pPr>
        <w:spacing w:after="0" w:line="162" w:lineRule="exact"/>
        <w:rPr>
          <w:rFonts w:ascii="Arial" w:cs="Arial" w:eastAsia="Arial" w:hAnsi="Arial"/>
          <w:sz w:val="18"/>
          <w:szCs w:val="18"/>
          <w:b w:val="1"/>
          <w:bCs w:val="1"/>
          <w:color w:val="auto"/>
        </w:rPr>
      </w:pPr>
    </w:p>
    <w:p>
      <w:pPr>
        <w:jc w:val="both"/>
        <w:ind w:left="660" w:right="20" w:hanging="328"/>
        <w:spacing w:after="0" w:line="26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face intense competition and rapid technological change and the possibility that our competitors may develop therapies that are similar, more advanced or more effective than ours. Other products may be approved and successfully commercialized before ours, which may adversely affect our business and financial condition;</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currently have no marketing and sales organization. If we are unable to establish and maintain sales and marketing capabilities in jurisdictions for which we choose to retain commercialization rights, we may be unable to generate any revenue and will depend on the efforts of our licensing partners, if any;</w:t>
      </w:r>
    </w:p>
    <w:p>
      <w:pPr>
        <w:spacing w:after="0" w:line="177"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rely on third parties to manufacture and test ONS-5010/LYTENAVA, conduct our preclinical and clinical trials and perform other tasks for us. If these third parties do not successfully carry out their contractual duties, meet expected deadlines or comply with regulatory requirements, we may not be able to obtain regulatory approval for ONS-5010/LYTENAVA outside the EU and UK, or for any other of our product candidates, or commercialize ONS-5010/LYTENAVA or any other of our product candidates and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500" w:top="1130" w:right="519" w:bottom="1440" w:gutter="0" w:footer="0" w:header="0"/>
        </w:sectPr>
      </w:pPr>
    </w:p>
    <w:bookmarkStart w:id="8" w:name="page9"/>
    <w:bookmarkEnd w:id="8"/>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202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t>We currently engage single source suppliers for clinical trial services, drug substance manufacturing, and fill-finish manufacturing of ONS-5010/LYTENAVA. The loss of any of these suppliers, or any future single source suppliers, could harm our business;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infringe or are alleged to infringe intellectual property rights of third parties, our business could be harmed;</w:t>
      </w:r>
    </w:p>
    <w:p>
      <w:pPr>
        <w:spacing w:after="0" w:line="224"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are unable to obtain and maintain effective patent rights for ONS-5010/LYTENAVA or our other product candidates or any future product candidates, we may not be able to prevent competitors from using technologies we consider important in the development and commercialization of ONS-5010/LYTENAVA or any future product candidates, resulting in loss of any potential competitive advantage our patents may have otherwise afforded us;</w:t>
      </w:r>
    </w:p>
    <w:p>
      <w:pPr>
        <w:spacing w:after="0" w:line="18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Unfavorable global economic and political conditions could adversely affect our business, financial condition or results of operations;</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highly dependent on the services of our key executives and personnel, and if we are not able to retain these members of our management or recruit additional management, clinical and scientific personnel, our business will suffer;</w:t>
      </w:r>
    </w:p>
    <w:p>
      <w:pPr>
        <w:spacing w:after="0" w:line="162"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and certain of our current and former officers have been named as defendants in a pending securities class action lawsuit. Certain of our current and former officers and directors have also been named as defendants in a pending shareholder derivative action. These lawsuits, and potential similar or related lawsuits, could result in substantial damages, divert management’s time and attention from our business, and have a material adverse effect on our results of operations; and</w:t>
      </w:r>
    </w:p>
    <w:p>
      <w:pPr>
        <w:spacing w:after="0" w:line="182"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trading price of our securities is likely to be volatile, and purchasers of our securities could incur substantial losses.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ability to avoid infringing the proprietary rights of third parties, our ability to obtain and maintain proprietary protection for our technologies where applicable and to prevent others from infringing our proprietary rights. We seek to protect our proprietary technologies by, among other methods, evaluating relevant patents, establishing defensive positions, monitoring EU oppositions and pending intellectual property rights, preparing litigation strategies in view of the U.S. legislative framework and filing United States and international patent applications on technologies, inventions and improvements that are important to our business. As of March 31, 2026, we own three U.S. patents, and twenty-four foreign patents, which relate to formulations developed for our legacy biosimilar program ONS-3010 and ONS-5010/ONS-1045, methods of antibody purification, methods for purifying antibodies to separate isoforms, methods of use, methods of reducing high molecular weight species, and modulating afucosylated species as well as efficiently determining the amino acid sequence of antibodies. Our Patent Cooperation Treaty, or PCT, Application No. PCT/US2017/016040, was filed in 2017. A U.S. patent in this family is granted and expected to expire no earlier than 2037. Our PCT Application No. PCT/US2017/012349, was filed in 2017. Patents are granted in Australia and Japanese patent are granted and expected to expire no earlier than 2037. Our Application No. PCT/US2016/068847 was filed in 2016. Patents in this family are granted in Germany, United Kingdom, India, and Japan, and expected to expire no earlier than 2036. Our PCT Application No. PCT/US2016/014252 was filed in 2016. Patents in this family are granted in Germany, United Kingdom, and the U.S., and expected to expire no earlier than 2036. Our PCT Application No. PCT/US2017/016549 was filed in 2017. Patents in this family are granted in India and Japan, and expected to expire no earlier than 2037. We also rely on trade secrets, know-how and continuing technological innovation to develop and maintain our proprietary position.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500" w:top="1134" w:right="519" w:bottom="1440" w:gutter="0" w:footer="0" w:header="0"/>
        </w:sectPr>
      </w:pPr>
    </w:p>
    <w:bookmarkStart w:id="9" w:name="page10"/>
    <w:bookmarkEnd w:id="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3184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6130" cy="3184525"/>
                    </a:xfrm>
                    <a:prstGeom prst="rect">
                      <a:avLst/>
                    </a:prstGeom>
                    <a:noFill/>
                  </pic:spPr>
                </pic:pic>
              </a:graphicData>
            </a:graphic>
          </wp:anchor>
        </w:drawing>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United States Patent and Trademark Office in examining and granting a patent or may be shortened if a patent is terminally disclaimed over a commonly owned patent or a patent naming a common inventor and having an earlier expiration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initially incorporated in January 2010 in New Jersey as Oncobiologics, Inc., and in October 2015, we reincorporated in Delaware by merging with and into a Delaware corporation. In November 2018, we changed our name to Outlook Therapeutics, Inc. Our headquarters are located at 111 S. Wood Avenue, Unit #100, Iselin, New Jersey 08830, and our telephone number at that location is (609) 619-3990. Our website address is www.outlooktherapeutics.com. The information contained on, or that can be accessed through, our website is not part of, and is not incorporated by reference into this prospectus supplement or the accompanying prospectus, and you should not consider it part of this prospectus supplement or the accompanying prospectus. Our website address is included in this prospectus supplement as an inactive textual reference only.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To the extent we take advantage of any reduced disclosure obligations, it may make the comparison of our financial statements with other public companies difficult or impossible.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500" w:top="1134" w:right="51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613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THE OFFERING</w:t>
      </w:r>
    </w:p>
    <w:p>
      <w:pPr>
        <w:sectPr>
          <w:pgSz w:w="11900" w:h="16838" w:orient="portrait"/>
          <w:cols w:equalWidth="0" w:num="1">
            <w:col w:w="10880"/>
          </w:cols>
          <w:pgMar w:left="500" w:top="1130" w:right="51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8,539,709 shares.</w:t>
      </w:r>
    </w:p>
    <w:p>
      <w:pPr>
        <w:spacing w:after="0" w:line="200" w:lineRule="exact"/>
        <w:rPr>
          <w:sz w:val="20"/>
          <w:szCs w:val="20"/>
          <w:color w:val="auto"/>
        </w:rPr>
      </w:pPr>
    </w:p>
    <w:p>
      <w:pPr>
        <w:sectPr>
          <w:pgSz w:w="11900" w:h="16838" w:orient="portrait"/>
          <w:cols w:equalWidth="0" w:num="2">
            <w:col w:w="3200" w:space="720"/>
            <w:col w:w="6960"/>
          </w:cols>
          <w:pgMar w:left="500" w:top="1130" w:right="519" w:bottom="1440" w:gutter="0" w:footer="0" w:header="0"/>
          <w:type w:val="continuous"/>
        </w:sectPr>
      </w:pPr>
    </w:p>
    <w:p>
      <w:pPr>
        <w:spacing w:after="0" w:line="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148,587,119 shares.</w:t>
      </w:r>
    </w:p>
    <w:p>
      <w:pPr>
        <w:spacing w:after="0" w:line="448" w:lineRule="exact"/>
        <w:rPr>
          <w:sz w:val="20"/>
          <w:szCs w:val="20"/>
          <w:color w:val="auto"/>
        </w:rPr>
      </w:pPr>
    </w:p>
    <w:p>
      <w:pPr>
        <w:sectPr>
          <w:pgSz w:w="11900" w:h="16838" w:orient="portrait"/>
          <w:cols w:equalWidth="0" w:num="2">
            <w:col w:w="3540" w:space="380"/>
            <w:col w:w="6960"/>
          </w:cols>
          <w:pgMar w:left="500" w:top="113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cash and cash equivalents, for working capital and general corporate purposes. See “Use of Proceeds” for additional information.</w:t>
      </w:r>
    </w:p>
    <w:p>
      <w:pPr>
        <w:spacing w:after="0" w:line="172" w:lineRule="exact"/>
        <w:rPr>
          <w:sz w:val="20"/>
          <w:szCs w:val="20"/>
          <w:color w:val="auto"/>
        </w:rPr>
      </w:pPr>
    </w:p>
    <w:p>
      <w:pPr>
        <w:sectPr>
          <w:pgSz w:w="11900" w:h="16838" w:orient="portrait"/>
          <w:cols w:equalWidth="0" w:num="2">
            <w:col w:w="3200" w:space="720"/>
            <w:col w:w="6960"/>
          </w:cols>
          <w:pgMar w:left="500" w:top="113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please read the information contained in and incorporated by reference in this prospectus supplement and the accompanying prospectus under the section titled “Risk Factors” beginning on page S-8 of this prospectus supplement.</w:t>
      </w:r>
    </w:p>
    <w:p>
      <w:pPr>
        <w:spacing w:after="0" w:line="176" w:lineRule="exact"/>
        <w:rPr>
          <w:sz w:val="20"/>
          <w:szCs w:val="20"/>
          <w:color w:val="auto"/>
        </w:rPr>
      </w:pPr>
    </w:p>
    <w:p>
      <w:pPr>
        <w:sectPr>
          <w:pgSz w:w="11900" w:h="16838" w:orient="portrait"/>
          <w:cols w:equalWidth="0" w:num="2">
            <w:col w:w="3200" w:space="720"/>
            <w:col w:w="6960"/>
          </w:cols>
          <w:pgMar w:left="500" w:top="113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on The Nasdaq Capital Market under the symbol “OTLK.”</w:t>
      </w:r>
    </w:p>
    <w:p>
      <w:pPr>
        <w:spacing w:after="0" w:line="207" w:lineRule="exact"/>
        <w:rPr>
          <w:sz w:val="20"/>
          <w:szCs w:val="20"/>
          <w:color w:val="auto"/>
        </w:rPr>
      </w:pPr>
    </w:p>
    <w:p>
      <w:pPr>
        <w:sectPr>
          <w:pgSz w:w="11900" w:h="16838" w:orient="portrait"/>
          <w:cols w:equalWidth="0" w:num="2">
            <w:col w:w="3200" w:space="720"/>
            <w:col w:w="6960"/>
          </w:cols>
          <w:pgMar w:left="500" w:top="1130" w:right="519" w:bottom="1440" w:gutter="0" w:footer="0" w:header="0"/>
          <w:type w:val="continuous"/>
        </w:sectPr>
      </w:pPr>
    </w:p>
    <w:p>
      <w:pPr>
        <w:spacing w:after="0" w:line="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140,047,410 shares of our common stock outstanding as of May 26, 2026. This number excludes the following:</w:t>
      </w:r>
    </w:p>
    <w:p>
      <w:pPr>
        <w:spacing w:after="0" w:line="162" w:lineRule="exact"/>
        <w:rPr>
          <w:sz w:val="20"/>
          <w:szCs w:val="20"/>
          <w:color w:val="auto"/>
        </w:rPr>
      </w:pPr>
    </w:p>
    <w:p>
      <w:pPr>
        <w:ind w:left="660" w:right="2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6,385,161 shares of common stock issuable upon exercise of outstanding stock options granted under our 2024 Equity Incentive Plan, or the 2024 Plan, as of May 26, 2026, with a weighted-average exercise price of $6.80 per share;</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1,858,785 shares of common stock reserved for future issuance under the 2024 Plan as of May 26, 2026;</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47,407 shares of common stock reserved for future issuance under our 2016 Employee Stock Purchase Plan, or the ESPP, as of May 26, 2026, as well as any future automatic annual increases in the number of shares of common stock reserved for issuance under the ESPP;</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71,366,978 shares of common stock issuable upon exercise of outstanding warrants as of May 26, 2026 with a weighted-average exercise price of $1.65 per share (including warrants to purchase an aggregate of 17,258,065 shares of common stock, the exercisability of which is conditioned upon receipt of the relevant stockholder approvals);</w:t>
      </w:r>
    </w:p>
    <w:p>
      <w:pPr>
        <w:spacing w:after="0" w:line="177" w:lineRule="exact"/>
        <w:rPr>
          <w:rFonts w:ascii="Arial" w:cs="Arial" w:eastAsia="Arial" w:hAnsi="Arial"/>
          <w:sz w:val="18"/>
          <w:szCs w:val="18"/>
          <w:b w:val="1"/>
          <w:bCs w:val="1"/>
          <w:color w:val="auto"/>
        </w:rPr>
      </w:pPr>
    </w:p>
    <w:p>
      <w:pPr>
        <w:jc w:val="both"/>
        <w:ind w:left="660" w:right="20" w:hanging="328"/>
        <w:spacing w:after="0" w:line="265"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7,746,951 shares of common stock which may be issuable upon the conversion of the March 2025 Note (as defined in “Risk Factors—Risks Related to this Offering”), which had an outstanding principal balance and accrued interest of approximately $3.1 million as of May 26, 2026 and a conversion price of $0.404; and</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Up to $100.0 million of shares of our common stock remaining to be sold under an “at the market” equity offering program that we entered into pursuant to our At The Market Offering Agreement, dated May 13, 2026, with H.C. Wainwright &amp; Co., LLC, as agent, or the Sales Agreement, as of May 26, 2026.</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exercise of outstanding options or warrants to purchase our common stock;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issuance of shares available, or that may become available, for future issuance under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500" w:top="1130" w:right="51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Investing in our securities involves a high degree of risk. Before you decide to invest in our securities, you should carefully consider the following risk factors and the risk factors discussed under the section titled “Risk Factors” contained in our Annual Report on Form 10-K for the fiscal year ended September 30, 2025, filed with the SEC on </w:t>
      </w:r>
      <w:hyperlink r:id="rId12">
        <w:r>
          <w:rPr>
            <w:rFonts w:ascii="Times New Roman" w:cs="Times New Roman" w:eastAsia="Times New Roman" w:hAnsi="Times New Roman"/>
            <w:sz w:val="18"/>
            <w:szCs w:val="18"/>
            <w:i w:val="1"/>
            <w:iCs w:val="1"/>
            <w:u w:val="single" w:color="auto"/>
            <w:color w:val="0000EE"/>
          </w:rPr>
          <w:t>December 19, 2025</w:t>
        </w:r>
      </w:hyperlink>
      <w:r>
        <w:rPr>
          <w:rFonts w:ascii="Times New Roman" w:cs="Times New Roman" w:eastAsia="Times New Roman" w:hAnsi="Times New Roman"/>
          <w:sz w:val="18"/>
          <w:szCs w:val="18"/>
          <w:i w:val="1"/>
          <w:iCs w:val="1"/>
          <w:color w:val="auto"/>
        </w:rPr>
        <w:t>, as updated by our subsequent filings, which are incorporated by reference into this prospectus supplement and accompanying prospectus in their entirety, together with all of the other information contained in this prospectus supplement and the accompanying prospectus or incorporated by reference into this prospectus supplement and the accompanying prospectus. The risks and uncertainties described in these documents are not the only ones we face. Other risks and uncertainties, including those that we do not currently consider material, may impair our business. If any of the risks discussed below or incorporated by reference actually occur, our business, financial condition, operating results or cash flows could be materially adversely affected. This could cause the value of our securities to decline, and you may lose all or part of your investment.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which substantial doubt will not be alleviated with the net proceeds of this offering. We will continue to need to raise substantial additional funding to complete the development of ONS-5010/LYTENAVA outside the EU and UK and support our operations until we are able to generate sufficient revenue from the sales of ONS-5010/LYTENAVA in the EU and UK. This additional funding may not be available on acceptable terms or at all. Failure to obtain this necessary capital when needed may force us to delay, limit or terminate our product development efforts or other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Developing product candidates is an expensive, risky and lengthy process. We have received a marketing authorization from the European Commission and the MHRA for ONS-5010/LYTENAVA for the treatment of wet AMD in the EU and UK, respectively. We are currently advancing ONS-5010/LYTENAVA through the regulatory approval process in the United States, which may ultimately require additional clinical and/or non-clinical studies. Our expenses may increase in connection with our ongoing activities, particularly as we continue the research and development of, continue and initiate clinical trials of, and seek marketing approval for, ONS-5010/LYTENAVA outside the EU and UK.</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of March 31, 2026, our cash and cash equivalents balance was $7.7 million. We estimate that our cash and cash equivalents as of March 31, 2026, together with the net proceeds of this offering and $4.5 million in net proceeds from the April 2026 Offering will only be sufficient to fund our operations into September 2026. On March 13, 2025, we issued a $33.1 million promissory note, or the March 2025 Note, to Avondale Capital, LLC, or Avondale. The March 2025 Note bears interest at the prime rate plus 3%, with a minimum rate of 9.5%, and is convertible into common stock. We must repay at least $3.0 million (by cash or conversions into common stock) of the outstanding balance on the March 2025 Note each quarter starting in the second calendar quarter of 2025 (subject to adjustments for conversions and to payment of a 7.5% exit fee), or the Quarterly Debt Reduction Obligations. Any amount converted by Avondale during a given calendar quarter in excess of the Quarterly Debt Reduction Obligations will be credited toward meeting the Quarterly Debt Reduction Obligations for the next quarter or quarters. See </w:t>
      </w:r>
      <w:r>
        <w:rPr>
          <w:rFonts w:ascii="Times New Roman" w:cs="Times New Roman" w:eastAsia="Times New Roman" w:hAnsi="Times New Roman"/>
          <w:sz w:val="18"/>
          <w:szCs w:val="18"/>
          <w:i w:val="1"/>
          <w:iCs w:val="1"/>
          <w:color w:val="auto"/>
        </w:rPr>
        <w:t>“Raising additional capital, including as a result of this offering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modifications to our existing convertible securities, may cause dilution to our securityholders, restrict our operations or require us to relinquish rights to our technologies or product candidates” </w:t>
      </w:r>
      <w:r>
        <w:rPr>
          <w:rFonts w:ascii="Times New Roman" w:cs="Times New Roman" w:eastAsia="Times New Roman" w:hAnsi="Times New Roman"/>
          <w:sz w:val="18"/>
          <w:szCs w:val="18"/>
          <w:color w:val="auto"/>
        </w:rPr>
        <w:t>for additional information on the terms of the March 2025 Note. On December 31, 2025, we did not satisfy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$3.0 million Quarterly Debt Reduction Obligation, which constituted a Major Trigger Event under the March 2025 Note. This Major Trigger Event has not resulted in an event of default under the March 2025 Note. During the three months ended March 31, 2026, we completed multiple conversions of outstanding principal and accrued interest under the March 2025 Note into shares of our common stock and accordingly the Quarterly Debt Reduction Obligation was satisfied as of March 31, 2026. On March 16, 2026, we entered into a Note Purchase Agreement with Atlas Sciences, LLC, or Atlas, pursuant to which we agreed to issue to Atlas an unsecured promissory note with an original principal balance of $18.36 million, or the March 2026 Note, which we agreed to use for the partial repayment of $17 million of the March 2025 Note. As of May 26, 2026, there were approximately $3.1 million in remaining obligations under the March 2025 Note. In connection with entry into the Note Purchase Agreement with Atlas, we and Avondale entered into an amendment to the March 2025 Note to extend the maturity thereof to December 31, 2026.</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do not believe our cash and cash equivalents, together with $4.5 million in net proceeds from the April 2026 Offering, will be adequate to fund our currently planned operations through at least the next 12 months from the date of our Quarterly Report on Form 10-Q for the quarter ended March 31, 2026. As a result, there is substantial doubt about our ability to continue as a going concern. We will require substantial additional capital to continue to operate as a going concern, which substantial doubt will not be alleviated with the net proceeds of this offering. Although we continue to pursue discussions with additional potential strategic partners for ONS-5010/LYTENAVA outside of the United States, there is no guarantee that we will be successful in reaching any such agreement, nor that such agreement, if successful, will cover the anticipated commercialization costs for ONS-5010/LYTENAVA. Moreover, on December 31, 2025, we reported that we had received a third CRL with respect to our BLA for ONS-5010, and the FDA has again recommended that confirmatory evidence of efficacy be submitted to support the application. However, it is possible that we may need to conduct additional clinical and/or non-clinical studies of ONS-5010 in order to satisfy the FDA’s requirements, which would require substantial resources, which may be difficult to obtain or which may be unavailable to us on acceptable terms or at all. Our operating plan may also change as a result of many factors currently unknown to us, and we will continue to actively seek substantial additional capital following this offering, through public or private equity or debt financings, third-party funding, marketing and distribution arrangements, as well as through other collaborations, strategic alliances and licensing arrangements, or a combination of these approaches. Even if we believe we have sufficient funds for our current or future operating plans, we may seek additional capital if market conditions are favorable or if we have specific strategic considerations. Additionally, we may not achieve the expected benefits of these cost reduction measures and other cost reduction plans on the anticipated timeline, or at all, which could otherwise accelerate our liquidity needs and could force us to further curtail or suspend our operations. If we are unable to obtain the substantial additional funding needed to operate our business, our business and prospects would be materially and adversely affected, and we may be required to cease operations entirely, liquidate all or a portion of our assets, and/or seek protection under the U.S. Bankruptcy Code, and you may lose all or part of your investment.</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We may experience difficulties in accessing the capital markets due to external factors beyond our control, such as volatility in the equity markets for emerging biotechnology companies and general economic and market conditions both in the United States and abroad. For example, our ability to raise additional capital may be adversely impacted by global economic conditions and disruptions to and volatility in the credit and financial markets in the United States and worldwide, such as has been experienced recently due in part to, among other things, the impacts of inflation, geopolitical instability and uncertainty, and disruptions in access to bank deposits and lending commitments due to bank failure. In addition, our financial position may make it more difficult for us to secure additional funding. We cannot be certain that we will be able to obtain financing on terms acceptable to us, or at all. Our failure to obtain adequate and timely funding will adversely affect our business and our ability to develop our technology and products candidates. Moreover, the terms of any financing may negatively impact the holdings or the rights of our stockholders, and the issuance of additional securities, whether equity or debt, by us or the possibility of such issuance may cause the market price of our securities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be required to relinquish rights to some of our technologies or product candidates or otherwise agree to terms unfavorable to us, in order to obtain necessary funding, any of which may harm our business, operating results and prospects. Even if we believe we have sufficient funds for our current or future operating plans, we may seek additional capital if market conditions are favorable or for specific strategic considerations. If we are unable to obtain funding on a timely basis, we may be required to significantly curtail, delay or discontinue one or more of our development programs or the commercialization of ONS-5010/LYTENAVA or any product candidates, if approved. We may also be unable to expand our operations or otherwise capitalize on our business opportunities, as desired, which could harm our business, financial condition and results of operations.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including as a result of this offering or modifications to our existing convertible securities, may cause dilution to our securityholders, restrict our operations or require us to relinquish rights to our technologies or product candidates.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Until such time, if ever, as we can generate sufficient product revenues, we expect to finance our cash needs through a combination of equity and debt financings, as well as selectively continuing to enter into collaborations, strategic alliances and licensing arrangements. We do not currently have any committed external source of funding. To the extent that we raise additional capital through the sale of equity, including in this offering or via our Sales Agreement, or convertible debt securities, your ownership interest will be diluted, and the terms of these securities may include liquidation or other preferences that adversely affect your rights as a securityholder.</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obligated to repay a minimum of $3.0 million of the outstanding balance of the March 2025 Note each calendar quarter starting with the second calendar quarter of 2025, subject to adjustments for conversions by Avondale and the payment of an exit fee of 7.5%. Any amount converted by Avondale during a given calendar quarter in excess of the Quarterly Debt Reduction Obligations will be credited toward meeting the Quarterly Debt Reduction Obligations for the next quarter or quarters.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Avondale may convert any portion of the March 2025 Note into common stock at a conversion price of $2.26, as further described in the March 2025 Note. In addition, we may convert the March 2025 Note if our stock trades at or above $3.00 per share for 30 consecutive days with an average daily trading volume of at least $1.0 million. Trigger Events (e.g., payment default, covenant breaches) may increase the March 2025 Note balance by 5-10%. Unresolved issues after 10 trading days trigger default, accelerating the March 2025 Note with 22% interest. If the Conversion Price drops below $0.404, conversions must be paid in cash. Conversions of amounts outstanding under the March 2025 Note may result in the issuance of a substantial number of shares of common stock. On December 31, 2025, we did not satisfy the required $3.0 million Quarterly Debt Reduction Obligation, which constituted a Major Trigger Event under the March 2025 Note. As of May 26, 2026, Avondale had converted $13.6 million of principal and accrued interest on the March 2025 Note into shares of common stock at a weighted average conversion price of $0.43. If we are unable to satisfy future repayment obligations under the March 2025 Note, Avondale may continue to effectuate conversions at prices significantly below the initial $2.26 conversion price, with such conversion price to be determined in accordance with the terms set out in the March 2025 Note. Such conversion could result in significant dilution.</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 debt financing, if available, may involve agreements that include covenants limiting or restricting our ability to take specific actions, such as incurring additional debt, making capital expenditures or declaring dividends, and may be secured by all or a portion of our assets. If we secure development funds for ONS-5010/LYTENAVA or any future product candidate through entering into collaborations, strategic alliances or licensing arrangements with third parties, we may have to relinquish additional valuable rights to our technologies, future revenue streams, research programs or product candidates or to grant licenses on terms that may not be favorable to us. If we are unable to raise additional funds when needed, we may be required to delay, limit, reduce or terminate our product development or commercialization efforts, including for ONS-5010/LYTENAVA, or grant rights to develop and market ONS-5010/LYTENAVA or other product candidates that we would otherwise prefer to develop and market ourselves, terminate product development or future commercialization efforts, including for ONS-5010/LYTENAVA, or to cease operations altogether.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securities is likely to be volatile, and purchasers of our securities could incur substantial losses.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 price of our securities has been and will likely continue to be volatile. The stock market in general and the market in which we operate have experienced extreme volatility that has often been unrelated to the operating performance of particular companies. As a result of this volatility, investors may not be able to sell their securities at a profit. The market price of our securities could be subject to wide fluctuations in response to a variety of factors, including but not limited to:</w:t>
      </w:r>
    </w:p>
    <w:p>
      <w:pPr>
        <w:spacing w:after="0" w:line="18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success of competitive services, products or technologies;</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adverse results or delays in preclinical or clinical trials;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inability to obtain additional funding;</w:t>
      </w:r>
    </w:p>
    <w:p>
      <w:pPr>
        <w:spacing w:after="0" w:line="8" w:lineRule="exact"/>
        <w:rPr>
          <w:rFonts w:ascii="Arial" w:cs="Arial" w:eastAsia="Arial" w:hAnsi="Arial"/>
          <w:sz w:val="18"/>
          <w:szCs w:val="18"/>
          <w:b w:val="1"/>
          <w:bCs w:val="1"/>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delay in filing an investigational new drug application, or IND, BLA or other regulatory submission for ONS-5010/LYTENAVA, or any of our product candidates when planned, and any adverse development or perceived adverse development with respect to the applicable regulatory agency’s review of that IND, BLA or other regulatory submission;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perception of limited market sizes or pricing for ONS-5010/LYTENAVA or any of our other product candidates;</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failure to successfully develop and commercialize ONS-5010/LYTENAVA or any of our other product candidates;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post-marketing safety issues relating to our product candidates generally;</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failure to maintain our existing strategic collaborations or enter into new collaborations;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failure by us or our licensors and strategic collaboration partners to prosecute, maintain or enforce our intellectual property rights;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laws or regulations applicable to our products;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inability to obtain adequate product supply for our product candidates or the inability to do so at acceptable prices;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adverse regulatory decisions;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introduction of new products, services or technologies by our competitors;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failure to meet or exceed financial projections we may provide to the public;</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failure to meet or exceed the financial projections of the investment community;</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8"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our strategic collaboration partners or our competitors;</w:t>
      </w:r>
    </w:p>
    <w:p>
      <w:pPr>
        <w:spacing w:after="0" w:line="1"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8"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significant lawsuits, including stockholder litigation and litigation filed by us or filed against us pertaining to patent infringement or other violations of intellectual property rights;</w:t>
      </w:r>
    </w:p>
    <w:p>
      <w:pPr>
        <w:spacing w:after="0" w:line="1"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outcomes of any citizens petitions filed by parties seeking to restrict or limit the approval of ONS-5010/LYTENAVA in the EU or UK, or any of our product candidates that may be approved;</w:t>
      </w:r>
    </w:p>
    <w:p>
      <w:pPr>
        <w:spacing w:after="0" w:line="1"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an adverse or misleading opinion regarding our stock;</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the market valuations of similar companies;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general economic, industry or market conditions;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sales of our securities by us or our stockholders in the future;</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trading volume of our securities;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issuance of patents to third parties that could prevent our ability to commercialize our product candidates;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loss of one or more employees constituting our leadership team;</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regulatory requirements that could make it more difficult for us to develop our product candidates; and</w:t>
      </w:r>
    </w:p>
    <w:p>
      <w:pPr>
        <w:spacing w:after="0" w:line="8" w:lineRule="exact"/>
        <w:rPr>
          <w:rFonts w:ascii="Arial" w:cs="Arial" w:eastAsia="Arial" w:hAnsi="Arial"/>
          <w:sz w:val="18"/>
          <w:szCs w:val="18"/>
          <w:b w:val="1"/>
          <w:bCs w:val="1"/>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factors described in this “Risk Factors” section or the “Risk Factors” section of our Annual Report on Form 10-K for the fiscal year ended September 30, 2025, filed with the SEC on </w:t>
      </w:r>
      <w:hyperlink r:id="rId12">
        <w:r>
          <w:rPr>
            <w:rFonts w:ascii="Times New Roman" w:cs="Times New Roman" w:eastAsia="Times New Roman" w:hAnsi="Times New Roman"/>
            <w:sz w:val="18"/>
            <w:szCs w:val="18"/>
            <w:u w:val="single" w:color="auto"/>
            <w:color w:val="0000EE"/>
          </w:rPr>
          <w:t>December 19, 2025</w:t>
        </w:r>
      </w:hyperlink>
      <w:r>
        <w:rPr>
          <w:rFonts w:ascii="Times New Roman" w:cs="Times New Roman" w:eastAsia="Times New Roman" w:hAnsi="Times New Roman"/>
          <w:sz w:val="18"/>
          <w:szCs w:val="18"/>
          <w:color w:val="auto"/>
        </w:rPr>
        <w:t>, as updated by our subsequent filings, which are incorporated by reference into this prospectus supplement and accompanying prospectus.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and two of our current and former officers have been named as defendants a class action lawsuit filed in the United States District Court for the District of New Jersey and certain of our current and former officers and directors were named as defendants in a shareholder derivative action filed in the District Court of the District of Delaware. Such lawsuits have often been instituted against companies, including us, whose securities have experienced periods of volatility in market price. The pending lawsuits and any lawsuits brought against us in the future could result in substantial costs, which would hurt our financial condition and results of operations and divert management’s attention and resources, which could preclude or delay commercialization efforts.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biopharmaceutical companies in particular have experienced extreme price and volume fluctuations that have often been unrelated or disproportionate to the operating performance of these companies. Broad market and industry factors may negatively affect the market price of our securities, regardless of our actual operating performance.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Capital Market and begin trading in the over-the-counter markets if we are not successful in regaining compliance with Nasdaq’s continued listing standards, which may negatively impact the price of our common stock and our ability to access the capital markets.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18, 2026, we received a letter from the Listing Qualifications Staff, or the Nasdaq Staff, of The Nasdaq Stock Market LLC, or Nasdaq, notifying us that for the last 30 consecutive business days, the bid price of our common stock had closed below $1.00 per share, the minimum closing bid price required by the continued listing requirements of Nasdaq Listing Rule 5550(a)(2).</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Nasdaq Listing Rule 5810(c)(3)(A), we have a period of 180 calendar days, or until August 17, 2026, or the Compliance Date, to regain compliance with the minimum bid price requirement. To regain compliance, the closing bid price of our common stock must be at least $1.00 per share for a minimum of ten consecutive business days before the Compliance Date. If we do not achieve compliance by the Compliance Date, we may be eligible for an additional 180-day period to regain compliance if we meet the continued listing requirement for market value of publicly held shares and all other initial listing standards, with the exception of the bid price requirement, and provide written notice to Nasdaq of our intention to cure the deficiency during the second compliance period, by effecting a reverse stock split, if necessary. However, if it appears to the Nasdaq Staff that we will not be able to cure the deficiency, or if we are otherwise not eligible for the additional compliance period, and we do not regain compliance by the Compliance Date, The Nasdaq Capital Market will provide written notification to us that our common stock is subject to delisting. At that time, we may appeal the delisting determination to a hearings panel pursuant to the procedures set forth in the applicable Nasdaq listing rules. However, there can be no assurance that, if we do appeal the delisting determination by Nasdaq to the panel, such appeal would be successful.</w:t>
      </w:r>
    </w:p>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intend to actively monitor the closing bid price of our common stock between now and the Compliance Date and will evaluate available options to resolve the deficiency and regain compliance with the minimum bid price rule.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not successful in regaining compliance, we anticipate that our common stock would begin trading on the over-the-counter market. Delisting from Nasdaq and trading on the over-the-counter market could adversely affect the liquidity of our common stock. Stocks traded on the over-the-counter market generally have limited trading volume and exhibit a wider spread between the bid/ask quotation, as compared to securities listed on a national securities exchange. Consequently, you may not be able to liquidate your investment in the event of an emergency or for any other reason.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common stock is delisted from the Nasdaq, we could face significant material adverse consequences, including:</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limited availability of market quotations for our common stock;</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reduced amount of news and analyst coverage for our company;</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Reduced liquidity for our stockholders;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Potential loss of confidence by partners and employees; and</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Loss of institutional investor interest and fewer business development opportunities.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delisting of our common stock from Nasdaq would constitute an event of default under the March 2025 Note and the March 2026 Note.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securities in this offering, you will suffer immediate dilution of your investment.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offering price per share in this offering is higher than the net tangible book value per share of our common stock. Therefore, if you purchase securities in this offering, you will pay an offering price per share that substantially exceeds our pro forma as adjusted net tangible book deficit per share after giving effect to this offering. To the extent outstanding options or warrants are exercised, you will incur further dilution. Our net tangible book deficit as of March 31, 2026 was approximately $29.0 million, or $0.28 per share. After giving effect to: (i) the pro forma adjustments described in the section of this prospectus supplement titled “Dilution” and the sale of 8,539,709 shares of our common stock in this offering at a price of $0.5855 per share, and after deducting estimated offering expenses payable by us, you will experience immediate dilution of $0.67 per share, representing the difference between our pro forma as adjusted net tangible book deficit per share as of March 31, 2026 after giving effect to this offering. See the section of this prospectus supplement titled “Dilution” for a more detailed discussion of the dilution you will incur if you purchase securities in this offering.</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our cash and cash equivalents, including the net proceeds we receive in this offering, and despite our efforts may not use them in a manner that increases the value of your investment.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to use our cash and cash equivalents,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to us from the issuance and sale of our common stock will be approximately $4.9 million after deducting estimated offering expenses payable by us.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cash and cash equivalents, for working capital and general corporate purposes. These expected uses represent our intentions based upon our current plans and business conditions, which could change in the future as our plans and business conditions evolve. The amounts and timing of these expenditures will depend on numerous factors, including the development of our current business initiatives. We have no specific acquisition contemplated at this time. As of the date of this prospectus supplement, we cannot specify with certainty all of the particular uses for the net proceeds from this offering. Our management has broad discretion to use our cash and cash equivalents, including the net proceeds we receive in this offering, to fund our operations and investors will be relying upon the judgment of our management regarding the application of these proceeds. The failure by our management to apply these funds effectively could harm our business and cause the price of our common stock to decline, perhaps significantly. The amounts and timing of our actual expenditures will depend on numerous factors, including factors described under “Risk Factors” in this prospectus supplement and the documents incorporated by reference herein and therein.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tangible book deficit as of March 31, 2026 was approximately $29.0 million, or $0.28 per share of common stock. Net tangible book value is total assets minus the sum of liabilities and intangible assets. Net tangible book value per share is net tangible book value divided by the total number of shares of our common stock outstanding as of March 31, 2026.</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 forma net tangible book deficit as of March 31, 2026 was approximately $17.4 million, or $0.12 per share of common stock. Pro forma net tangible book deficit reflects total tangible assets minus total liabilities, adjusted to give effect to (i) the issuance and sale of 16,129,033 shares of common stock in the April 2026 Offering resulting in approximately $4.5 million of net proceeds, (ii) the exercise of warrants to purchase 2,720,000 shares of common stock resulting in approximately $680,000 in net proceeds and (iii) the issuance of 16,584,158 shares of common stock upon the conversion of $6.7 million in principal and accrued interest under the March 2025 Note, each occurring subsequent to March 31, 2026.</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Dilution in net tangible book value per share represents the difference between the amount per share paid by purchasers of securities in this offering, and the pro forma as adjusted net tangible book value per share of our common stock immediately after completion of this offering.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giving effect to the issuance and sale of 8,539,709 shares of our common stock at the offering price of $0.5855 per share, and after deducting estimated offering expenses payable by us, our pro forma as adjusted net tangible book deficit as of March 31, 2026 would have been approximately $12.5 million, or $0.08 per share. This represents an immediate increase in the net tangible book value of $0.04 per share to existing stockholders and immediate dilution in net tangible book value of $0.67 per share to the purchaser.</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 to the purchaser:</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deficit per share as of March 31, 2026</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deficit per share as of March 31, 2026</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as a result of this offering</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9"/>
                <w:szCs w:val="19"/>
                <w:color w:val="auto"/>
              </w:rPr>
            </w:pP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4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the purchaser</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104,614,219 shares of our common stock outstanding as of March 31, 2026. This number excludes the following:</w:t>
      </w:r>
    </w:p>
    <w:p>
      <w:pPr>
        <w:spacing w:after="0" w:line="162" w:lineRule="exact"/>
        <w:rPr>
          <w:sz w:val="20"/>
          <w:szCs w:val="20"/>
          <w:color w:val="auto"/>
        </w:rPr>
      </w:pPr>
    </w:p>
    <w:p>
      <w:pPr>
        <w:ind w:left="660" w:hanging="328"/>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6,715,881 shares of common stock issuable upon exercise of outstanding stock options granted under the 2024 Plan as of March 31, 2026, with a weighted-average exercise price of $6.52 per share;</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1,528,065 shares of common stock reserved for future issuance under the 2024 Plan as of March 31, 2026;</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47,407 shares of common stock reserved for future issuance under our ESPP as of March 31, 2026, as well as any future automatic annual increases in the number of shares of common stock reserved for issuance under the ESPP;</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56,828,913 shares of common stock issuable upon exercise of outstanding warrants as of March 31, 2026 with a weighted-average exercise price of $1.98 per share;</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23,964,921 shares of common stock which may be issuable upon the conversion of the March 2025 Note, which had an outstanding principal balance and accrued interest of approximately $9.7 million as of March 31, 2026 and a conversion price of $0.404; and</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16,129,033 shares of common stock issuable upon exercise of outstanding warrants at an exercise price of $0.31 per share and 1,129,032 shares of common stock issuable upon exercise of outstanding placement agent warrants at an exercise price of $0.3875 per share issued in connection with the April 2026 Offering.</w:t>
      </w:r>
    </w:p>
    <w:p>
      <w:pPr>
        <w:spacing w:after="0" w:line="1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options and warrants are exercised or settle, as applicable, or other shares are issued, purchaser may experience further dilution. In addition, we will need to raise additional capital, and, to the extent that additional capital is raised through the sale of equity or convertible debt securities, the issuance of these securities could result in further dilution to purchaser.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3400"/>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offering 8,539,709 shares of our common stock in this offering.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supplement, our restated certificate of incorporation authorizes us to issue 260,000,000 shares of common stock, par value $0.01 per share, and 10,000,000 shares of preferred stock, par value $0.01 per share. Shares of our common stock are our only security registered pursuant to Section 12 of the Exchange Act. Each holder of common stock is entitled to one vote for each share on all matters submitted to a vote of the stockholders. The affirmative vote of holders of 66 2∕3% of the voting power of all of the then-outstanding shares of capital stock, voting as a single class, will be required to amend certain provisions of our certificate of incorporation, including provisions relating to amending our bylaws, the classified board, the size of our board, removal of directors, director liability, vacancies on our board, special meetings, stockholder notices, actions by written consent and exclusive jurisdiction.</w:t>
      </w:r>
    </w:p>
    <w:p>
      <w:pPr>
        <w:spacing w:after="0" w:line="189" w:lineRule="exact"/>
        <w:rPr>
          <w:sz w:val="20"/>
          <w:szCs w:val="20"/>
          <w:color w:val="auto"/>
        </w:rPr>
      </w:pPr>
    </w:p>
    <w:p>
      <w:pPr>
        <w:jc w:val="both"/>
        <w:ind w:firstLine="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more information, see “Description of Capital Stock” in Exhibit 4.1 to our Annual Report on Form 10-K for the year ended September 30, 2025, which </w:t>
      </w:r>
      <w:hyperlink r:id="rId36">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by reference into this prospectus supplement and the accompanying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Its address is 48 Wall Street, Floor 23, New York, NY 10005.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“OTLK.”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selling 8,539,709 shares of our common stock under this prospectus supplement directly to the purchaser. We expect that the sale of the shares of our common stock will be completed on or around the date indicated on the cover page of this prospectus supplement.</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expenses of the issuance are estimated at $125,000 and are payable by us. The shares of common stock offered hereby are being sold directly by us without the use of underwriters or agents.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Its address is 48 Wall Street, Floor 23, New York, NY 10005.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“OTLK.”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the securities being offered by this prospectus supplement will be passed upon for us by Cooley LLP, Chicago, Illinois.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Outlook Therapeutics, Inc. as of September 30, 2025 and 2024, and for each of the years in the two-year period ended September 30, 2025, have been incorporated by reference herein in reliance upon the report of KPMG LLP, independent registered public accounting firm, incorporated by reference herein, and upon the authority of said firm as experts in accounting and auditing. The audit report covering the September 30, 2025 consolidated financial statements contains an explanatory paragraph that states that the Company has incurred recurring losses and negative cash flows from operations and has an accumulated deficit, that raise substantial doubt about its ability to continue as a going concern. The consolidated financial statements do not include any adjustments that might result from the outcome of that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we filed with the SEC under the Securities Act and do not contain all the information set forth or incorporated by reference in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http://www.outlooktherapeutics.com. Our website is not a part of this prospectus supplement and is not incorporated by reference in this prospectus supplement.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and the accompanying prospectus. We incorporate by reference the documents listed below and any future filings (other than current reports furnished under Item 2.02 or Item 7.01 of Form 8-K and exhibits filed on such form that are related to such items unless such Form 8-K expressly provides to the contrary) we make with the SEC under Sections 13(a), 13(c), 14 or 15(d) of the Exchange Act after the date of this prospectus supplement and prior to the termination of the offering of the common stock covered by this prospectus supplement (Commission File No. 001-37759).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sz w:val="20"/>
          <w:szCs w:val="20"/>
          <w:color w:val="auto"/>
        </w:rPr>
      </w:pPr>
    </w:p>
    <w:p>
      <w:pPr>
        <w:jc w:val="both"/>
        <w:ind w:left="660" w:hanging="328"/>
        <w:spacing w:after="0" w:line="265" w:lineRule="auto"/>
        <w:tabs>
          <w:tab w:leader="none" w:pos="66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September 30, 2025, filed with the SEC on </w:t>
      </w:r>
      <w:hyperlink r:id="rId12">
        <w:r>
          <w:rPr>
            <w:rFonts w:ascii="Times New Roman" w:cs="Times New Roman" w:eastAsia="Times New Roman" w:hAnsi="Times New Roman"/>
            <w:sz w:val="18"/>
            <w:szCs w:val="18"/>
            <w:u w:val="single" w:color="auto"/>
            <w:color w:val="0000EE"/>
          </w:rPr>
          <w:t>December 19, 2025</w:t>
        </w:r>
      </w:hyperlink>
      <w:r>
        <w:rPr>
          <w:rFonts w:ascii="Times New Roman" w:cs="Times New Roman" w:eastAsia="Times New Roman" w:hAnsi="Times New Roman"/>
          <w:sz w:val="18"/>
          <w:szCs w:val="18"/>
          <w:color w:val="auto"/>
        </w:rPr>
        <w:t xml:space="preserve">, including the information specifically incorporated by reference therein from our Definitive Proxy Statement on Schedule 14A filed with the SEC on </w:t>
      </w:r>
      <w:hyperlink r:id="rId40">
        <w:r>
          <w:rPr>
            <w:rFonts w:ascii="Times New Roman" w:cs="Times New Roman" w:eastAsia="Times New Roman" w:hAnsi="Times New Roman"/>
            <w:sz w:val="18"/>
            <w:szCs w:val="18"/>
            <w:u w:val="single" w:color="auto"/>
            <w:color w:val="0000EE"/>
          </w:rPr>
          <w:t>January 26, 2026</w:t>
        </w:r>
      </w:hyperlink>
      <w:r>
        <w:rPr>
          <w:rFonts w:ascii="Times New Roman" w:cs="Times New Roman" w:eastAsia="Times New Roman" w:hAnsi="Times New Roman"/>
          <w:sz w:val="18"/>
          <w:szCs w:val="18"/>
          <w:color w:val="000000"/>
        </w:rPr>
        <w:t>;</w:t>
      </w:r>
    </w:p>
    <w:p>
      <w:pPr>
        <w:spacing w:after="0" w:line="177" w:lineRule="exact"/>
        <w:rPr>
          <w:rFonts w:ascii="Times New Roman" w:cs="Times New Roman" w:eastAsia="Times New Roman" w:hAnsi="Times New Roman"/>
          <w:sz w:val="18"/>
          <w:szCs w:val="18"/>
          <w:color w:val="0000EE"/>
        </w:rPr>
      </w:pPr>
    </w:p>
    <w:p>
      <w:pPr>
        <w:ind w:left="660" w:right="20" w:hanging="328"/>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December 31, 2025, filed with the SEC on </w:t>
      </w:r>
      <w:hyperlink r:id="rId41">
        <w:r>
          <w:rPr>
            <w:rFonts w:ascii="Times New Roman" w:cs="Times New Roman" w:eastAsia="Times New Roman" w:hAnsi="Times New Roman"/>
            <w:sz w:val="18"/>
            <w:szCs w:val="18"/>
            <w:u w:val="single" w:color="auto"/>
            <w:color w:val="0000EE"/>
          </w:rPr>
          <w:t>February 17,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March 31, 2026, filed with the SEC on </w:t>
      </w:r>
      <w:hyperlink r:id="rId42">
        <w:r>
          <w:rPr>
            <w:rFonts w:ascii="Times New Roman" w:cs="Times New Roman" w:eastAsia="Times New Roman" w:hAnsi="Times New Roman"/>
            <w:sz w:val="18"/>
            <w:szCs w:val="18"/>
            <w:u w:val="single" w:color="auto"/>
            <w:color w:val="0000EE"/>
          </w:rPr>
          <w:t>May 15, 2026</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6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3">
        <w:r>
          <w:rPr>
            <w:rFonts w:ascii="Times New Roman" w:cs="Times New Roman" w:eastAsia="Times New Roman" w:hAnsi="Times New Roman"/>
            <w:sz w:val="18"/>
            <w:szCs w:val="18"/>
            <w:u w:val="single" w:color="auto"/>
            <w:color w:val="0000EE"/>
          </w:rPr>
          <w:t>November 3, 2025</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November 13, 2025</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January 2, 2026</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February 11, 2026</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February 18,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5,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10,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11,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16,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25,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7,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21,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23,</w:t>
        </w:r>
      </w:hyperlink>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May 13, 2026</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 xml:space="preserve">May 26, 2026 </w:t>
        </w:r>
      </w:hyperlink>
      <w:hyperlink r:id="rId4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0">
        <w:r>
          <w:rPr>
            <w:rFonts w:ascii="Times New Roman" w:cs="Times New Roman" w:eastAsia="Times New Roman" w:hAnsi="Times New Roman"/>
            <w:sz w:val="18"/>
            <w:szCs w:val="18"/>
            <w:u w:val="single" w:color="auto"/>
            <w:color w:val="0000EE"/>
          </w:rPr>
          <w:t>May 28, 2026</w:t>
        </w:r>
      </w:hyperlink>
      <w:hyperlink r:id="rId47">
        <w:r>
          <w:rPr>
            <w:rFonts w:ascii="Times New Roman" w:cs="Times New Roman" w:eastAsia="Times New Roman" w:hAnsi="Times New Roman"/>
            <w:sz w:val="18"/>
            <w:szCs w:val="18"/>
            <w:color w:val="000000"/>
          </w:rPr>
          <w:t>, to the extent the information in such reports is filed and not furnished;</w:t>
        </w:r>
      </w:hyperlink>
    </w:p>
    <w:p>
      <w:pPr>
        <w:spacing w:after="0" w:line="177" w:lineRule="exact"/>
        <w:rPr>
          <w:rFonts w:ascii="Times New Roman" w:cs="Times New Roman" w:eastAsia="Times New Roman" w:hAnsi="Times New Roman"/>
          <w:sz w:val="18"/>
          <w:szCs w:val="18"/>
          <w:color w:val="0000EE"/>
        </w:rPr>
      </w:pPr>
    </w:p>
    <w:p>
      <w:pPr>
        <w:jc w:val="both"/>
        <w:ind w:left="660" w:hanging="328"/>
        <w:spacing w:after="0" w:line="260" w:lineRule="auto"/>
        <w:tabs>
          <w:tab w:leader="none" w:pos="66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set forth in our registration statement on Form 8-A, filed with the SEC on </w:t>
      </w:r>
      <w:hyperlink r:id="rId51">
        <w:r>
          <w:rPr>
            <w:rFonts w:ascii="Times New Roman" w:cs="Times New Roman" w:eastAsia="Times New Roman" w:hAnsi="Times New Roman"/>
            <w:sz w:val="18"/>
            <w:szCs w:val="18"/>
            <w:u w:val="single" w:color="auto"/>
            <w:color w:val="0000EE"/>
          </w:rPr>
          <w:t>April 29, 2016</w:t>
        </w:r>
      </w:hyperlink>
      <w:r>
        <w:rPr>
          <w:rFonts w:ascii="Times New Roman" w:cs="Times New Roman" w:eastAsia="Times New Roman" w:hAnsi="Times New Roman"/>
          <w:sz w:val="18"/>
          <w:szCs w:val="18"/>
          <w:color w:val="auto"/>
        </w:rPr>
        <w:t xml:space="preserve">, as amended </w:t>
      </w:r>
      <w:hyperlink r:id="rId36">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0000EE"/>
          </w:rPr>
          <w:t>May 11, 2016</w:t>
        </w:r>
        <w:r>
          <w:rPr>
            <w:rFonts w:ascii="Times New Roman" w:cs="Times New Roman" w:eastAsia="Times New Roman" w:hAnsi="Times New Roman"/>
            <w:sz w:val="18"/>
            <w:szCs w:val="18"/>
            <w:color w:val="auto"/>
          </w:rPr>
          <w:t xml:space="preserve">, including any further amendments thereto or reports filed for the purposes of updating this description, including </w:t>
        </w:r>
        <w:r>
          <w:rPr>
            <w:rFonts w:ascii="Times New Roman" w:cs="Times New Roman" w:eastAsia="Times New Roman" w:hAnsi="Times New Roman"/>
            <w:sz w:val="18"/>
            <w:szCs w:val="18"/>
            <w:u w:val="single" w:color="auto"/>
            <w:color w:val="0000EE"/>
          </w:rPr>
          <w:t>Exhibit 4.1 of</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our Annual Report on Form 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fiscal year ended September 30, 2025, filed with the SEC on December 19, 2025, and including any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amendments or reports filed for the purpose of updating such description.</w:t>
      </w:r>
    </w:p>
    <w:p>
      <w:pPr>
        <w:spacing w:after="0" w:line="182" w:lineRule="exact"/>
        <w:rPr>
          <w:rFonts w:ascii="Times New Roman" w:cs="Times New Roman" w:eastAsia="Times New Roman" w:hAnsi="Times New Roman"/>
          <w:sz w:val="18"/>
          <w:szCs w:val="18"/>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 Outlook Therapeutics, Inc., Attention: Corporate Secretary, 111 S. Wood Avenue, Unit #100, Iselin, New Jersey 08830. Our phone number is (609) 619-3990. You may also view the documents that we file with the SEC and incorporate by reference in this prospectus on our corporate website at www.outlooktherapeutics.com. The information on our website is not incorporated by reference and is not a part of this prospectus.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142875</wp:posOffset>
            </wp:positionV>
            <wp:extent cx="1671320" cy="531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16713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offer up to $300,000,000 of any combination of shares of our common stock, shares of our preferred stock, debt securities and warrants to purchase any of such securities, in one or more offerings as described in this prospectus. We may also offer securities as may be issuable upon conversion, redemption, repurchase, exchange or exercise of any securities registered hereunder, including any applicable antidilution provisions.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accompanied by a prospectus supplement.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and in the applicable prospectus supplement. If any agents or underwriters are involved in the sale of any securities with respect to which this prospectus is being delivered, the names of such agents or underwriters and any applicable fees, discounts or commissions and over-allotment options will be set forth in a prospectus supplement. The price to the public of such securities and the net proceeds we expect to receive from such sale will also be set forth in a prospectus supplement.</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“OTLK.” On March 27, 2024, the last reported sale price of our common stock on The Nasdaq Capital Market was $9.37 per share. The applicable prospectus supplement will contain information, where applicable, as to other listings, if any, on The Nasdaq Capital Market or other securities exchange of the securities covered by the applicable prospectus supplement.</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7 of this prospectus and any similar section contained in the applicable prospectus supplement and in any related free writing prospectuses we have authorized for use in connection with a specific offering, and under similar headings in the documents that are incorporated by reference into this prospectus.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April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5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80" w:type="dxa"/>
            <w:vAlign w:val="bottom"/>
            <w:tcBorders>
              <w:bottom w:val="single" w:sz="8" w:color="CCEEFF"/>
            </w:tcBorders>
            <w:gridSpan w:val="8"/>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79"/>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7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THE SECURITIES WE MAY OFFER</w:t>
            </w:r>
          </w:p>
        </w:tc>
        <w:tc>
          <w:tcPr>
            <w:tcW w:w="5920" w:type="dxa"/>
            <w:vAlign w:val="bottom"/>
            <w:gridSpan w:val="6"/>
            <w:shd w:val="clear" w:color="auto" w:fill="CCEEFF"/>
          </w:tcPr>
          <w:p>
            <w:pPr>
              <w:spacing w:after="0"/>
              <w:rPr>
                <w:sz w:val="15"/>
                <w:szCs w:val="15"/>
                <w:color w:val="auto"/>
              </w:rPr>
            </w:pPr>
          </w:p>
        </w:tc>
        <w:tc>
          <w:tcPr>
            <w:tcW w:w="25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8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6"/>
          </w:tcPr>
          <w:p>
            <w:pPr>
              <w:spacing w:after="0"/>
              <w:rPr>
                <w:sz w:val="15"/>
                <w:szCs w:val="15"/>
                <w:color w:val="auto"/>
              </w:rPr>
            </w:pPr>
          </w:p>
        </w:tc>
        <w:tc>
          <w:tcPr>
            <w:tcW w:w="25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5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380" w:type="dxa"/>
            <w:vAlign w:val="bottom"/>
          </w:tcPr>
          <w:p>
            <w:pPr>
              <w:spacing w:after="0"/>
              <w:rPr>
                <w:sz w:val="15"/>
                <w:szCs w:val="15"/>
                <w:color w:val="auto"/>
              </w:rPr>
            </w:pPr>
          </w:p>
        </w:tc>
        <w:tc>
          <w:tcPr>
            <w:tcW w:w="25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840" w:type="dxa"/>
            <w:vAlign w:val="bottom"/>
            <w:tcBorders>
              <w:bottom w:val="single" w:sz="8" w:color="CCEEFF"/>
            </w:tcBorders>
            <w:gridSpan w:val="5"/>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7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5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5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LEGAL OWNERSHIP OF SECURITIES</w:t>
            </w:r>
          </w:p>
        </w:tc>
        <w:tc>
          <w:tcPr>
            <w:tcW w:w="25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60" w:type="dxa"/>
            <w:vAlign w:val="bottom"/>
            <w:tcBorders>
              <w:bottom w:val="single" w:sz="8" w:color="CCEEFF"/>
            </w:tcBorders>
            <w:gridSpan w:val="10"/>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7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40" w:type="dxa"/>
            <w:vAlign w:val="bottom"/>
            <w:tcBorders>
              <w:bottom w:val="single" w:sz="8" w:color="CCEEFF"/>
            </w:tcBorders>
            <w:gridSpan w:val="14"/>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7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5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or SEC, utilizing a “shelf” registration process. Under this shelf registration process, we may offer and sell any combination of the securities described in this prospectus in one or more offerings up to a total aggregate offering price of $300,000,000. This prospectus provides you with a general description of the securities we may offer.</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time we offer and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If there is any inconsistency between the information in this prospectus and the applicable prospectus supplement or free writing prospectus, you should rely on the prospectus supplement or free writing prospectus, as applicable.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8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into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Information that is based on estimates, forecasts, projections, market research, or similar methodologies is inherently subject to uncertainties and involves a number of assumptions and limitations; as a result, actual events or circumstances may differ materially from events and circumstances that are assumed in this information. The industry in which we operate is subject to a high degree of uncertainty and risk due to a variety of factors, including those described under the heading “Risk Factors.” Although we are responsible for all of the disclosure contained in this prospectus and we believe that the data we use from third parties are reliable, we have not separately verified this data. Further, while we believe that our internal research is reliable, such research has not been verified by any third party. You are cautioned not to give undue weight to any such information, projections, and estimates.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indicated or unless the context otherwise requires, references to “company,” “we,” “us,” “our” or “Outlook Therapeutics,” refer to Outlook Therapeutics, Inc. and its consolidated subsidiaries.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name “Outlook Therapeutics,” the Outlook Therapeutics logo and other trademarks or service marks of Outlook Therapeutics, Inc. appearing in this prospectus and in any prospectus supplement or free writing prospectus and the information incorporated by reference herein or therein are the property of Outlook Therapeutics, Inc. Other trademarks, service marks or trade names appearing in this prospectus in any prospectus supplement or free writing prospectus and the information incorporated by reference herein or therein are the property of their respective owners. We do not intend our use or display of other companies’ trade names, trademarks or service marks to imply a relationship with, or endorsement or sponsorship of us by, these other companies.</w:t>
      </w:r>
    </w:p>
    <w:p>
      <w:pPr>
        <w:spacing w:after="0" w:line="3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750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t>PROSPECTUS SUMMARY</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herein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working to launch the first ophthalmic formulation of bevacizumab approved by the U.S. Food and Drug Administration, or the FDA, for use in retinal indications. Our goal is to launch directly in the United States as the first and only approved ophthalmic bevacizumab for the treatment of wet age-related macular degeneration, or wet AMD, diabetic macular edema, or DME, and branch retinal vein occlusion, or BRVO. Our plans also include seeking approval and launching the product in the United Kingdom, Europe, Japan and other markets, either directly into those markets or through a strategic partner. If approved, we expect to receive 12 years of regulatory exclusivity in the United States and up to 10 years of market exclusivity in the European Union.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Bevacizumab is a full-length, humanized anti-VEGF (Vascular Endothelial Growth Factor) recombinant monoclonal antibody, or mAb, that inhibits VEGF and associated angiogenic activity. In March 2022, we submitted a BLA with the FDA for ONS-5010 (LYTENAVA (bevacizumab-vikg)), an investigational ophthalmic formulation of bevacizumab, which we have developed to be administered as an intravitreal injection for the treatment of wet AMD and other retinal diseases. In May 2022, we voluntarily withdrew our BLA to provide additional information requested by the FDA. We re-submitted the BLA to the FDA for ONS-5010 on August 30, 2022, and in October 2022, we received confirmation from the FDA that our BLA had been accepted for filing with a Prescription Drug User Fee Act, or PDUFA, date of August 29, 2023 for a review decision by the FDA. On August 29, 2023, we received a Complete Response Letter, or CRL, in which the FDA concluded it could not approve our BLA during this review cycle due to several chemical, manufacturing and control, or CMC, issues, open observations from pre-approval manufacturing inspections, and a lack of substantial evidence. At subsequent Type A meetings with the FDA, we learned that the FDA was also requiring the successful completion of an additional adequate and well-controlled clinical trial evaluating ONS-5010, as well as additional requested CMC data indicated in the CRL to approve ONS-5010 for use in wet AMD.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agreed to conduct an additional adequate, and well-controlled clinical trial following discussions with the FDA in support of our BLA for ONS-5010. In December 2023, we submitted a Special Protocol Assessment, or SPA, to the FDA for this study (NORSE EIGHT) seeking confirmation that, if successful, it will address the FDA’s requirement for a second adequate and well-controlled clinical trial to support our planned resubmission of the ONS-5010 BLA. In January 2024, we received confirmation that the FDA has reviewed and agreed upon the NORSE EIGHT trial protocol pursuant to the SPA. If the NORSE EIGHT trial is successful, it would satisfy the FDA’s requirement for a second adequate and well-controlled clinical trial to address fully the clinical deficiency identified in the CRL. The first subject was enrolled in NORSE EIGHT in January 2024. In addition, through a Type A meeting and additional interactions, we have identified the approaches needed to resolve the CMC comments in the CRL. We are working to address the open items and expect to resolve these comments prior to the expected completion of NORSE EIGHT.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Separately, in October 2022 we submitted a Marketing Authorization Application, or MAA, for ONS-5010 with the European Medicines Agency, or the EMA. On December 22, 2022, our MAA was validated for review by the EMA. The MAA was submitted as a ‘full-mixed marketing authorisation application’ based on Article 8.3 of Directive 2001/83/EC. The formal review process of the MAA by the EMA’s Committee for Medicinal Products for Human Use, or CHMP, is now underway with an estimated decision date expected in the first half of calendar year 2024. ONS-5010 is our sole product candidate in active development.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680" w:top="1238" w:right="679" w:bottom="1440" w:gutter="0" w:footer="0" w:header="0"/>
        </w:sectPr>
      </w:pPr>
    </w:p>
    <w:bookmarkStart w:id="27" w:name="page28"/>
    <w:bookmarkEnd w:id="2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476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t>Our initial BLA submission for ONS-5010 in wet AMD involved three clinical trials, which we refer to as NORSE ONE, NORSE TWO and NORSE THREE. The study design for our clinical program to evaluate ONS-5010 as an ophthalmic formulation of bevacizumab was reviewed at an end of Phase 2 meeting with the FDA in April 2018, and we filed our investigational new drug application, or IND, with the FDA in the first quarter of calendar 2019. In August 2020, we reported achieving the anticipated safety and efficacy and positive proof-of-concept topline results from NORSE ONE, a clinical experience study. NORSE TWO is our pivotal Phase 3 clinical trial comparing ONS-5010 (bevacizumab-vikg) to ranibizumab (LUCENTIS). The topline results reported from NORSE TWO in August 2021 showed that ONS-5010 met the primary and key secondary endpoint for efficacy with clinically impactful change observed for treated patients. The NORSE TWO primary endpoint difference in proportion of subjects gaining at least 15 letters in Best Corrected Visual Acuity, or BCVA, score was met and was both highly statistically significant and clinically relevant. In the intent to treat, or ITT, primary dataset, the percentage of patients who gained at least 15 letters who were treated with ONS-5010, was 41.7%, and the percentage of patients who gained at least 15 letters who were treated with ranibizumab was 23.1% (p = 0.0052). The primary endpoint was also statistically significant and clinically relevant in the secondary per protocol, or PP, dataset (p = 0.04) where the percentages were almost identical, at 41.0% with ONS-5010, and 24.7% with ranibizumab. The key secondary endpoint BCVA score change from baseline to month 11 in the primary ITT dataset was also highly statistically significant and clinically relevant (p = 0.0035). A mean change of 11.2 letters in BCVA score was observed with ONS-5010, and with ranibizumab the mean change was 5.8 letters. The results were also statistically significant in the secondary PP dataset (p = 0.01) with a mean change with ONS-5010 of 11.1 letters versus 7.0 letters with ranibizumab. Additionally, the majority of ONS-5010 subjects maintained or gained BCVA during the study (defined as change from baseline in BCVA ≥ 0), with at least 80% of ONS-5010 subjects maintaining BCVA each month. Results were also positive for the remaining NORSE TWO secondary endpoints with 56.5% (p = 0.0016) of ONS-5010 subjects gaining ≥ 10 letters of vision and 68.5% (p = 0.0116) of ONS-5010 subjects gaining ≥ 5 letters of vision. NORSE THREE is an open-label safety study we conducted to ensure the adequate number of safety exposures to ONS-5010 were available for the initial ONS-5010 BLA submission with the FDA. In March 2021, we reported that the results from NORSE THREE showed a positive safety profile for ONS-5010. The NORSE BLA registration program is also being used to support our MAA submission in the European Union.</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we agreed with the FDA in the SPA, NORSE EIGHT will be a randomized, controlled, parallel-group, masked, non-inferiority study of approximately 400 newly diagnosed, wet AMD subjects randomized in a 1:1 ratio to receive 1.25 mg ONS-5010 or 0.5 mg ranibizumab intravitreal injections. Subjects will receive injections at Day 0 (randomization), Week 4, and Week 8 visits. The primary endpoint will be mean change in BCVA from baseline to week 8. The first subject was enrolled in NORSE EIGHT in January 2024. We expect NORSE EIGHT topline results and potential resubmission of the ONS-5010 BLA by the end of calendar year 2024.</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in November 2021, we began enrolling patients in our NORSE SEVEN clinical trial. The study compares the safety of ophthalmic bevacizumab in vials versus pre-filled syringes in subjects diagnosed with a retinal condition that would benefit from treatment with intravitreal injection of bevacizumab, including exudative age-related macular degeneration, DME, or BRVO. Subjects will be treated for three months, and the enrollment of subjects in the arm of the study receiving ONS-5010 in vials has been completed.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received agreement from the FDA on three Special Protocol Assessments, or SPAs, for three additional registration clinical trials for our ongoing Phase 3 program for ONS-5010. The agreements reached with the FDA on these SPAs cover the protocols for NORSE FOUR, a registration clinical trial evaluating ONS-5010 to treat BRVO, and NORSE FIVE and NORSE SIX, two registration clinical trials evaluating ONS-5010 to treat DME. We intend to initiate these studies following the anticipated FDA approval of our BLA for wet AMD.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there are no approved bevacizumab products for the treatment of retinal diseases in the United States and other major global markets, we submitted a standard BLA, and are not using the biosimilar drug development pathway that would be required if Avastin were an approved drug for the targeted diseases. If approved, we believe ONS-5010 has potential to mitigate risks associated with off-label use of unapproved bevacizumab. In the United States, approximately 66.3% of new patient starts are off-label repackaged bevacizumab (ASRS 2022 Membership Survey Presented at ASRS NY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680" w:top="1242"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3596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36130" cy="3596005"/>
                    </a:xfrm>
                    <a:prstGeom prst="rect">
                      <a:avLst/>
                    </a:prstGeom>
                    <a:noFill/>
                  </pic:spPr>
                </pic:pic>
              </a:graphicData>
            </a:graphic>
          </wp:anchor>
        </w:drawing>
        <w:t>Risks Associated with our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or the Exchange Act. As a smaller reporting company, we are eligible to take advantage of certain exemptions from disclosure requirements, including not being required to comply with the auditor attestation requirements of Section 404 of the Sarbanes-Oxley Act and reduced disclosure obligations regarding executive compensation. We will be able to take advantage of the scaled disclosures available to smaller reporting companies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initially incorporated in January 2010 in New Jersey as Oncobiologics, Inc., and in October 2015, we reincorporated in Delaware by merging with and into a Delaware corporation. In November 2018, we changed our name to Outlook Therapeutics, Inc. Our headquarters are located at 485 Route 1 South, Building F, Suite 320, Iselin, New Jersey 08830, and our telephone number at that location is (609) 619-3990. Our website address is www.outlooktherapeutics.com. The information contained on, or that can be accessed through, our website is not part of, and is not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680" w:top="1238" w:right="67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9735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36130" cy="6973570"/>
                    </a:xfrm>
                    <a:prstGeom prst="rect">
                      <a:avLst/>
                    </a:prstGeom>
                    <a:noFill/>
                  </pic:spPr>
                </pic:pic>
              </a:graphicData>
            </a:graphic>
          </wp:anchor>
        </w:drawing>
        <w:t>THE SECURITIES WE MAY OFFER</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offer shares of our common stock and preferred stock, various series of debt securities and/or warrants to purchase any of such securities, either individually or in combination, up to a total aggregate offering price of $300,000,000 from time to time in one or more offerings under this prospectus, together with the applicable prospectus supplement and any related free writing prospectus, at prices and on terms to be determined by market conditions at the time of the relevant offering.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9" w:lineRule="exact"/>
        <w:rPr>
          <w:sz w:val="20"/>
          <w:szCs w:val="20"/>
          <w:color w:val="auto"/>
        </w:rPr>
      </w:pPr>
    </w:p>
    <w:p>
      <w:pPr>
        <w:ind w:left="660" w:hanging="330"/>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designation or classification;</w:t>
      </w:r>
    </w:p>
    <w:p>
      <w:pPr>
        <w:spacing w:after="0" w:line="224" w:lineRule="exact"/>
        <w:rPr>
          <w:rFonts w:ascii="Arial" w:cs="Arial" w:eastAsia="Arial" w:hAnsi="Arial"/>
          <w:sz w:val="18"/>
          <w:szCs w:val="18"/>
          <w:b w:val="1"/>
          <w:bCs w:val="1"/>
          <w:color w:val="auto"/>
        </w:rPr>
      </w:pPr>
    </w:p>
    <w:p>
      <w:pPr>
        <w:ind w:left="660" w:hanging="330"/>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aggregate principal amount or aggregate offering price;</w:t>
      </w:r>
    </w:p>
    <w:p>
      <w:pPr>
        <w:spacing w:after="0" w:line="224" w:lineRule="exact"/>
        <w:rPr>
          <w:rFonts w:ascii="Arial" w:cs="Arial" w:eastAsia="Arial" w:hAnsi="Arial"/>
          <w:sz w:val="18"/>
          <w:szCs w:val="18"/>
          <w:b w:val="1"/>
          <w:bCs w:val="1"/>
          <w:color w:val="auto"/>
        </w:rPr>
      </w:pPr>
    </w:p>
    <w:p>
      <w:pPr>
        <w:ind w:left="660" w:hanging="330"/>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maturity;</w:t>
      </w:r>
    </w:p>
    <w:p>
      <w:pPr>
        <w:spacing w:after="0" w:line="224" w:lineRule="exact"/>
        <w:rPr>
          <w:rFonts w:ascii="Arial" w:cs="Arial" w:eastAsia="Arial" w:hAnsi="Arial"/>
          <w:sz w:val="18"/>
          <w:szCs w:val="18"/>
          <w:b w:val="1"/>
          <w:bCs w:val="1"/>
          <w:color w:val="auto"/>
        </w:rPr>
      </w:pPr>
    </w:p>
    <w:p>
      <w:pPr>
        <w:ind w:left="660" w:hanging="330"/>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original issue discount;</w:t>
      </w:r>
    </w:p>
    <w:p>
      <w:pPr>
        <w:spacing w:after="0" w:line="224" w:lineRule="exact"/>
        <w:rPr>
          <w:rFonts w:ascii="Arial" w:cs="Arial" w:eastAsia="Arial" w:hAnsi="Arial"/>
          <w:sz w:val="18"/>
          <w:szCs w:val="18"/>
          <w:b w:val="1"/>
          <w:bCs w:val="1"/>
          <w:color w:val="auto"/>
        </w:rPr>
      </w:pPr>
    </w:p>
    <w:p>
      <w:pPr>
        <w:ind w:left="660" w:hanging="330"/>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rates and times of payment of interest or dividends;</w:t>
      </w:r>
    </w:p>
    <w:p>
      <w:pPr>
        <w:spacing w:after="0" w:line="224" w:lineRule="exact"/>
        <w:rPr>
          <w:rFonts w:ascii="Arial" w:cs="Arial" w:eastAsia="Arial" w:hAnsi="Arial"/>
          <w:sz w:val="18"/>
          <w:szCs w:val="18"/>
          <w:b w:val="1"/>
          <w:bCs w:val="1"/>
          <w:color w:val="auto"/>
        </w:rPr>
      </w:pPr>
    </w:p>
    <w:p>
      <w:pPr>
        <w:ind w:left="660" w:hanging="330"/>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redemption, conversion, exercise, exchange or sinking fund terms;</w:t>
      </w:r>
    </w:p>
    <w:p>
      <w:pPr>
        <w:spacing w:after="0" w:line="224" w:lineRule="exact"/>
        <w:rPr>
          <w:rFonts w:ascii="Arial" w:cs="Arial" w:eastAsia="Arial" w:hAnsi="Arial"/>
          <w:sz w:val="18"/>
          <w:szCs w:val="18"/>
          <w:b w:val="1"/>
          <w:bCs w:val="1"/>
          <w:color w:val="auto"/>
        </w:rPr>
      </w:pPr>
    </w:p>
    <w:p>
      <w:pPr>
        <w:ind w:left="660" w:hanging="330"/>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restrictive covenants;</w:t>
      </w:r>
    </w:p>
    <w:p>
      <w:pPr>
        <w:spacing w:after="0" w:line="224" w:lineRule="exact"/>
        <w:rPr>
          <w:rFonts w:ascii="Arial" w:cs="Arial" w:eastAsia="Arial" w:hAnsi="Arial"/>
          <w:sz w:val="18"/>
          <w:szCs w:val="18"/>
          <w:b w:val="1"/>
          <w:bCs w:val="1"/>
          <w:color w:val="auto"/>
        </w:rPr>
      </w:pPr>
    </w:p>
    <w:p>
      <w:pPr>
        <w:ind w:left="660" w:hanging="330"/>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voting or other rights;</w:t>
      </w:r>
    </w:p>
    <w:p>
      <w:pPr>
        <w:spacing w:after="0" w:line="224" w:lineRule="exact"/>
        <w:rPr>
          <w:rFonts w:ascii="Arial" w:cs="Arial" w:eastAsia="Arial" w:hAnsi="Arial"/>
          <w:sz w:val="18"/>
          <w:szCs w:val="18"/>
          <w:b w:val="1"/>
          <w:bCs w:val="1"/>
          <w:color w:val="auto"/>
        </w:rPr>
      </w:pPr>
    </w:p>
    <w:p>
      <w:pPr>
        <w:ind w:left="660" w:right="20" w:hanging="330"/>
        <w:spacing w:after="0" w:line="281"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conversion or exchange prices or rates and, if applicable, any provisions for changes to or adjustments in the conversion or exchange prices or rates and in the securities or other property receivable upon conversion or exchange;</w:t>
      </w:r>
    </w:p>
    <w:p>
      <w:pPr>
        <w:spacing w:after="0" w:line="162" w:lineRule="exact"/>
        <w:rPr>
          <w:rFonts w:ascii="Arial" w:cs="Arial" w:eastAsia="Arial" w:hAnsi="Arial"/>
          <w:sz w:val="18"/>
          <w:szCs w:val="18"/>
          <w:b w:val="1"/>
          <w:bCs w:val="1"/>
          <w:color w:val="auto"/>
        </w:rPr>
      </w:pPr>
    </w:p>
    <w:p>
      <w:pPr>
        <w:ind w:left="660" w:hanging="330"/>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ranking;</w:t>
      </w:r>
    </w:p>
    <w:p>
      <w:pPr>
        <w:spacing w:after="0" w:line="224" w:lineRule="exact"/>
        <w:rPr>
          <w:rFonts w:ascii="Arial" w:cs="Arial" w:eastAsia="Arial" w:hAnsi="Arial"/>
          <w:sz w:val="18"/>
          <w:szCs w:val="18"/>
          <w:b w:val="1"/>
          <w:bCs w:val="1"/>
          <w:color w:val="auto"/>
        </w:rPr>
      </w:pPr>
    </w:p>
    <w:p>
      <w:pPr>
        <w:ind w:left="660" w:hanging="330"/>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restrictive covenants;</w:t>
      </w:r>
    </w:p>
    <w:p>
      <w:pPr>
        <w:spacing w:after="0" w:line="224" w:lineRule="exact"/>
        <w:rPr>
          <w:rFonts w:ascii="Arial" w:cs="Arial" w:eastAsia="Arial" w:hAnsi="Arial"/>
          <w:sz w:val="18"/>
          <w:szCs w:val="18"/>
          <w:b w:val="1"/>
          <w:bCs w:val="1"/>
          <w:color w:val="auto"/>
        </w:rPr>
      </w:pPr>
    </w:p>
    <w:p>
      <w:pPr>
        <w:ind w:left="660" w:hanging="330"/>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voting or other rights; and</w:t>
      </w:r>
    </w:p>
    <w:p>
      <w:pPr>
        <w:spacing w:after="0" w:line="224" w:lineRule="exact"/>
        <w:rPr>
          <w:rFonts w:ascii="Arial" w:cs="Arial" w:eastAsia="Arial" w:hAnsi="Arial"/>
          <w:sz w:val="18"/>
          <w:szCs w:val="18"/>
          <w:b w:val="1"/>
          <w:bCs w:val="1"/>
          <w:color w:val="auto"/>
        </w:rPr>
      </w:pPr>
    </w:p>
    <w:p>
      <w:pPr>
        <w:ind w:left="660" w:hanging="330"/>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discussion of material or special U.S. federal income tax considerations.</w:t>
      </w:r>
    </w:p>
    <w:p>
      <w:pPr>
        <w:spacing w:after="0" w:line="2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underwriters or dealers reserve the right to accept or reject all or part of any proposed purchase of securities. If we do offer securities to or through agents, underwriters or dealers, we will include in the applicable prospectus supplement:</w:t>
      </w:r>
    </w:p>
    <w:p>
      <w:pPr>
        <w:spacing w:after="0" w:line="176" w:lineRule="exact"/>
        <w:rPr>
          <w:sz w:val="20"/>
          <w:szCs w:val="20"/>
          <w:color w:val="auto"/>
        </w:rPr>
      </w:pPr>
    </w:p>
    <w:p>
      <w:pPr>
        <w:ind w:left="660" w:hanging="330"/>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names of those agents, underwriters or dealers;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20" w:top="887" w:right="539" w:bottom="1440" w:gutter="0" w:footer="0" w:header="0"/>
        </w:sectPr>
      </w:pPr>
    </w:p>
    <w:bookmarkStart w:id="30" w:name="page31"/>
    <w:bookmarkEnd w:id="30"/>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applicable fees, discounts and commissions to be paid to them;</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details regarding over-allotment or other options, if any;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net proceeds to us.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shares of our common stock from time to time. Holders of our common stock are entitled to one vote per share for the election of directors and on all other matters that require stockholder approval. Subject to any preferential rights of any then outstanding preferred stock, in the event of our liquidation, dissolution or winding up, holders of our common stock are entitled to share ratably in the assets remaining after payment of liabilities and the liquidation preferences of any then outstanding preferred stock. Our common stock does not carry any preemptive rights enabling a holder to subscribe for, or receive shares of, our common stock or any other securities convertible into shares of common stock, or any redemption rights.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Under our amended and restated certificate of incorporation, our board of directors has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 We urge you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the holder’s option and would be at prescribed conversion rates.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for the fiscal year ended September 30, 2023, as updated by our subsequent annual, quarterly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herein, contains, and any applicable prospectus supplement or free writing prospectus including the documents we incorporate by reference therein may contains forward-looking statements within the meaning of Section 27A of the Securities Act of 1933, as amended, or the Securities Act, and Section 21E of the Exchange Act, about us and our industry that involve substantial risks and uncertainties. All statements, other than statements of historical facts contained in this prospectus, including statements regarding our future financial condition, business strategy and plans, and objectives of management for future operations, are forward-looking statements. In some cases you can identify these statements by forward-looking words such as “anticipate,” “believe,” “continue,” “could,” “estimate,” “expect,” “intend,” “may,” “plan,” “potentially,” “seek,” “should,” “will,” “would,” or the negative of these terms or similar expressions. These forward-looking statements include, but are not limited to, statements concerning the following:</w:t>
      </w:r>
    </w:p>
    <w:p>
      <w:pPr>
        <w:spacing w:after="0" w:line="219" w:lineRule="exact"/>
        <w:rPr>
          <w:sz w:val="20"/>
          <w:szCs w:val="20"/>
          <w:color w:val="auto"/>
        </w:rPr>
      </w:pPr>
    </w:p>
    <w:p>
      <w:pPr>
        <w:ind w:left="680" w:hanging="321"/>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initiation, timing, progress and results of our clinical trials of our lead product candidate, ONS-5010;</w:t>
      </w:r>
    </w:p>
    <w:p>
      <w:pPr>
        <w:spacing w:after="0" w:line="278" w:lineRule="exact"/>
        <w:rPr>
          <w:rFonts w:ascii="Arial" w:cs="Arial" w:eastAsia="Arial" w:hAnsi="Arial"/>
          <w:sz w:val="18"/>
          <w:szCs w:val="18"/>
          <w:b w:val="1"/>
          <w:bCs w:val="1"/>
          <w:color w:val="auto"/>
        </w:rPr>
      </w:pPr>
    </w:p>
    <w:p>
      <w:pPr>
        <w:ind w:left="680" w:hanging="321"/>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reliance on our contract manufacturing organizations and other vendors;</w:t>
      </w:r>
    </w:p>
    <w:p>
      <w:pPr>
        <w:spacing w:after="0" w:line="278" w:lineRule="exact"/>
        <w:rPr>
          <w:rFonts w:ascii="Arial" w:cs="Arial" w:eastAsia="Arial" w:hAnsi="Arial"/>
          <w:sz w:val="18"/>
          <w:szCs w:val="18"/>
          <w:b w:val="1"/>
          <w:bCs w:val="1"/>
          <w:color w:val="auto"/>
        </w:rPr>
      </w:pPr>
    </w:p>
    <w:p>
      <w:pPr>
        <w:ind w:left="680" w:hanging="321"/>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results of our clinical trials will be sufficient to support domestic or global regulatory approvals;</w:t>
      </w:r>
    </w:p>
    <w:p>
      <w:pPr>
        <w:spacing w:after="0" w:line="278" w:lineRule="exact"/>
        <w:rPr>
          <w:rFonts w:ascii="Arial" w:cs="Arial" w:eastAsia="Arial" w:hAnsi="Arial"/>
          <w:sz w:val="18"/>
          <w:szCs w:val="18"/>
          <w:b w:val="1"/>
          <w:bCs w:val="1"/>
          <w:color w:val="auto"/>
        </w:rPr>
      </w:pPr>
    </w:p>
    <w:p>
      <w:pPr>
        <w:ind w:left="680" w:hanging="321"/>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obtain and maintain regulatory approval for ONS-5010 in the United States and other markets;</w:t>
      </w:r>
    </w:p>
    <w:p>
      <w:pPr>
        <w:spacing w:after="0" w:line="251" w:lineRule="exact"/>
        <w:rPr>
          <w:rFonts w:ascii="Arial" w:cs="Arial" w:eastAsia="Arial" w:hAnsi="Arial"/>
          <w:sz w:val="18"/>
          <w:szCs w:val="18"/>
          <w:b w:val="1"/>
          <w:bCs w:val="1"/>
          <w:color w:val="auto"/>
        </w:rPr>
      </w:pPr>
    </w:p>
    <w:p>
      <w:pPr>
        <w:ind w:left="680" w:right="2080" w:hanging="321"/>
        <w:spacing w:after="0" w:line="281" w:lineRule="auto"/>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the potential market size and the size of the patient populations for our product candidates, if approved, for commercial use;</w:t>
      </w:r>
    </w:p>
    <w:p>
      <w:pPr>
        <w:spacing w:after="0" w:line="189" w:lineRule="exact"/>
        <w:rPr>
          <w:rFonts w:ascii="Arial" w:cs="Arial" w:eastAsia="Arial" w:hAnsi="Arial"/>
          <w:sz w:val="18"/>
          <w:szCs w:val="18"/>
          <w:b w:val="1"/>
          <w:bCs w:val="1"/>
          <w:color w:val="auto"/>
        </w:rPr>
      </w:pPr>
    </w:p>
    <w:p>
      <w:pPr>
        <w:ind w:left="680" w:hanging="321"/>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fund our working capital requirements;</w:t>
      </w:r>
    </w:p>
    <w:p>
      <w:pPr>
        <w:spacing w:after="0" w:line="251" w:lineRule="exact"/>
        <w:rPr>
          <w:rFonts w:ascii="Arial" w:cs="Arial" w:eastAsia="Arial" w:hAnsi="Arial"/>
          <w:sz w:val="18"/>
          <w:szCs w:val="18"/>
          <w:b w:val="1"/>
          <w:bCs w:val="1"/>
          <w:color w:val="auto"/>
        </w:rPr>
      </w:pPr>
    </w:p>
    <w:p>
      <w:pPr>
        <w:ind w:left="680" w:right="1960" w:hanging="321"/>
        <w:spacing w:after="0" w:line="281" w:lineRule="auto"/>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rate and degree of market acceptance of our current and future product candidates, including our commercialization strategy and manufacturing capabilities for ONS-5010;</w:t>
      </w:r>
    </w:p>
    <w:p>
      <w:pPr>
        <w:spacing w:after="0" w:line="189" w:lineRule="exact"/>
        <w:rPr>
          <w:rFonts w:ascii="Arial" w:cs="Arial" w:eastAsia="Arial" w:hAnsi="Arial"/>
          <w:sz w:val="18"/>
          <w:szCs w:val="18"/>
          <w:b w:val="1"/>
          <w:bCs w:val="1"/>
          <w:color w:val="auto"/>
        </w:rPr>
      </w:pPr>
    </w:p>
    <w:p>
      <w:pPr>
        <w:ind w:left="680" w:hanging="321"/>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278" w:lineRule="exact"/>
        <w:rPr>
          <w:rFonts w:ascii="Arial" w:cs="Arial" w:eastAsia="Arial" w:hAnsi="Arial"/>
          <w:sz w:val="18"/>
          <w:szCs w:val="18"/>
          <w:b w:val="1"/>
          <w:bCs w:val="1"/>
          <w:color w:val="auto"/>
        </w:rPr>
      </w:pPr>
    </w:p>
    <w:p>
      <w:pPr>
        <w:ind w:left="680" w:hanging="321"/>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78" w:lineRule="exact"/>
        <w:rPr>
          <w:rFonts w:ascii="Arial" w:cs="Arial" w:eastAsia="Arial" w:hAnsi="Arial"/>
          <w:sz w:val="18"/>
          <w:szCs w:val="18"/>
          <w:b w:val="1"/>
          <w:bCs w:val="1"/>
          <w:color w:val="auto"/>
        </w:rPr>
      </w:pPr>
    </w:p>
    <w:p>
      <w:pPr>
        <w:ind w:left="680" w:hanging="321"/>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maintain and establish collaborations or obtain additional funding;</w:t>
      </w:r>
    </w:p>
    <w:p>
      <w:pPr>
        <w:spacing w:after="0" w:line="278" w:lineRule="exact"/>
        <w:rPr>
          <w:rFonts w:ascii="Arial" w:cs="Arial" w:eastAsia="Arial" w:hAnsi="Arial"/>
          <w:sz w:val="18"/>
          <w:szCs w:val="18"/>
          <w:b w:val="1"/>
          <w:bCs w:val="1"/>
          <w:color w:val="auto"/>
        </w:rPr>
      </w:pPr>
    </w:p>
    <w:p>
      <w:pPr>
        <w:ind w:left="680" w:hanging="321"/>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278" w:lineRule="exact"/>
        <w:rPr>
          <w:rFonts w:ascii="Arial" w:cs="Arial" w:eastAsia="Arial" w:hAnsi="Arial"/>
          <w:sz w:val="18"/>
          <w:szCs w:val="18"/>
          <w:b w:val="1"/>
          <w:bCs w:val="1"/>
          <w:color w:val="auto"/>
        </w:rPr>
      </w:pPr>
    </w:p>
    <w:p>
      <w:pPr>
        <w:ind w:left="680" w:hanging="321"/>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compete in the markets we serve;</w:t>
      </w:r>
    </w:p>
    <w:p>
      <w:pPr>
        <w:spacing w:after="0" w:line="278" w:lineRule="exact"/>
        <w:rPr>
          <w:rFonts w:ascii="Arial" w:cs="Arial" w:eastAsia="Arial" w:hAnsi="Arial"/>
          <w:sz w:val="18"/>
          <w:szCs w:val="18"/>
          <w:b w:val="1"/>
          <w:bCs w:val="1"/>
          <w:color w:val="auto"/>
        </w:rPr>
      </w:pPr>
    </w:p>
    <w:p>
      <w:pPr>
        <w:ind w:left="680" w:hanging="321"/>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factors that may impact our financial results; and</w:t>
      </w:r>
    </w:p>
    <w:p>
      <w:pPr>
        <w:spacing w:after="0" w:line="278" w:lineRule="exact"/>
        <w:rPr>
          <w:rFonts w:ascii="Arial" w:cs="Arial" w:eastAsia="Arial" w:hAnsi="Arial"/>
          <w:sz w:val="18"/>
          <w:szCs w:val="18"/>
          <w:b w:val="1"/>
          <w:bCs w:val="1"/>
          <w:color w:val="auto"/>
        </w:rPr>
      </w:pPr>
    </w:p>
    <w:p>
      <w:pPr>
        <w:ind w:left="680" w:hanging="321"/>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and estimates regarding the sufficiency of our cash resources and our need for additional funding.</w:t>
      </w:r>
    </w:p>
    <w:p>
      <w:pPr>
        <w:spacing w:after="0" w:line="2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which are incorporated by reference into this prospectus in their entirety, as well as any amendments thereto reflected in subsequent filings with the SEC. These risks are not exhaustive. Additional factors could harm our business and financial performance, such as risks associated with the current macroeconomic environment, including as a result of the impacts of inflation, high interest rates, current or potential future bank failures or ongoing overseas conflict.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general corporate purposes, which may include, among other things, funding research and development, clinical trials, vendor payables, potential regulatory submissions, hiring additional personnel and capital expenditures. We may also use a portion of the net proceeds to in-license, acquire, or invest in additional businesses, technologies, products, or assets, though we currently have no specific agreements, commitments, or understandings with respect to any in-licensing or acquisitions.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amounts and timing of our use of the net proceeds from this offering will depend on a number of factors, such as the timing and progress of our research and development efforts, the timing and progress of any partnering and commercialization efforts, technological advances and the competitive environment for our products. As of the date of this prospectus, we cannot specify with certainty all of the particular uses for the net proceeds to us from the sale of the securities offered by us hereunder. Accordingly, our management will have broad discretion in the timing and application of these proceeds. Pending application of the net proceeds as described above, we intend to temporarily invest the proceeds in short-term, interest-bearing instruments.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our authorized capital stock consists of 60,000,000 shares of common stock, par value $0.01 per share, and 10,000,000 shares of preferred stock, par value $0.01 per share.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our restated certificate of incorporation, or our Certificate of Incorporation, our second amended and restated bylaws, or our Bylaws, and the applicable provisions of the Delaware General Corporation Law, or DGCL. This information may not be complete in all respects and is qualified entirely by reference to the provisions of our Certificate of Incorporation, our Bylaws and the DGCL. For information on how to obtain copies of our Certificate of Incorporation and our Bylaws, see “Where You Can Find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22, 2024, we had 21,584,256 shares of common stock outstanding, which amount gives effect to a 1-for-20 reverse stock split of our common stock effected on March 14, 2024 and a private placement of shares of our common stock and accompanying warrants to purchase common stock that closed on March 18,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The affirmative vote of holders of 66⅔% of the voting power of all of the then-outstanding shares of capital stock, voting as a single class, will be required to amend certain provisions of our Certificate of Incorporation, including provisions relating to amending our Bylaws, the classified board, the size of our board, removal of directors, director liability, vacancies on our board, special meetings, stockholder notices, actions by written consent and exclusive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are entitled to share ratably in all assets remaining after payment of liabilities and the liquidation preference of any outstanding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Equivalents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22, 2024, we had issued and outstanding 124 performance stock unit awards and 2,628,610 stock option awards under our equity incentive plans. At such date, we also had outstanding warrants to acquire an aggregate of 13,136,193 shares of our common stock, including the Private Placement Warrants (as defined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18, 2024, in connection with a private placement, we issued warrants to purchase an aggregate of 12,857,133 shares of our common stock, or the Private Placement Warrants. The Private Placement Warrants have a per share exercise price equal to $7.70, subject to proportional adjustments in the event of stock splits or combinations or similar events. The Private Placement Warrants are exercisable only for cash, except in limited circumstances, at any time after the date of issuance, or the Issue Date, and will expire on March 18, 2029. A holder of Private Placement Warrants may not exercise the Private Placement Warrant if the holder, together with its affiliates, would beneficially own more than a specified percentage of the outstanding common stock (4.99%, 9.99% or 19.99%, as applicable), immediately after giving effect to such exercise, which may be increased or decreased at the holders’ option (not to exceed 19.99%), effective 61 days after written notice to us.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require the holders to cash exercise the Private Placement Warrants under certain circumstances as follows: (i) if the volume-weighted average price of our common stock equals or exceeds $20.00 per share (subject to adjustment in the event of stock splits, combinations or similar events) for 30 consecutive days, or the Stock Price Condition, at any time after we publicly announces topline data from our NORSE EIGHT clinical trial evidencing satisfaction of the trial’s primary endpoints, or the NORSE EIGHT Announcement, upon the consent of a majority of the members of our board of directors, we may require the holders to exercise up to 20% of the aggregate number of Private Placement Warrants issued to such holder on the Issue Date; and (ii) we may require up to the remainder of the Private Placement Warrants be exercised (A) if the Stock Price Condition is satisfied at any time after we publicly announce approval from the FDA of the BLA for ONS-5010, upon the consent of a majority of the members of our board of directors or</w:t>
      </w:r>
    </w:p>
    <w:p>
      <w:pPr>
        <w:spacing w:after="0" w:line="3" w:lineRule="exact"/>
        <w:rPr>
          <w:sz w:val="20"/>
          <w:szCs w:val="20"/>
          <w:color w:val="auto"/>
        </w:rPr>
      </w:pPr>
    </w:p>
    <w:p>
      <w:pPr>
        <w:ind w:right="20" w:firstLine="8"/>
        <w:spacing w:after="0" w:line="260" w:lineRule="auto"/>
        <w:tabs>
          <w:tab w:leader="none" w:pos="2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Condition is satisfied at any time after the NORSE EIGHT Announcement, upon the unanimous consent of the members of our board of directors present at duly called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 Our board of directors has previously designated 1,000,000 shares as “Series A Convertible Preferred Stock,” 200,000 shares as “Series A-1 Convertible Preferred Stock” and 1,500,000 shares as “Series B Convertible Preferred Stock.” As of March 22, 2024, we did not have any shares of preferred stock issued and outstanding.</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62" w:lineRule="exact"/>
        <w:rPr>
          <w:sz w:val="20"/>
          <w:szCs w:val="20"/>
          <w:color w:val="auto"/>
        </w:rPr>
      </w:pPr>
    </w:p>
    <w:p>
      <w:pPr>
        <w:ind w:left="340" w:hanging="211"/>
        <w:spacing w:after="0"/>
        <w:tabs>
          <w:tab w:leader="none" w:pos="34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title and stated value;</w:t>
      </w:r>
    </w:p>
    <w:p>
      <w:pPr>
        <w:spacing w:after="0" w:line="251" w:lineRule="exact"/>
        <w:rPr>
          <w:rFonts w:ascii="Arial" w:cs="Arial" w:eastAsia="Arial" w:hAnsi="Arial"/>
          <w:sz w:val="18"/>
          <w:szCs w:val="18"/>
          <w:b w:val="1"/>
          <w:bCs w:val="1"/>
          <w:color w:val="auto"/>
        </w:rPr>
      </w:pPr>
    </w:p>
    <w:p>
      <w:pPr>
        <w:ind w:left="340" w:hanging="211"/>
        <w:spacing w:after="0"/>
        <w:tabs>
          <w:tab w:leader="none" w:pos="34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number of shares authorized;</w:t>
      </w:r>
    </w:p>
    <w:p>
      <w:pPr>
        <w:spacing w:after="0" w:line="251" w:lineRule="exact"/>
        <w:rPr>
          <w:rFonts w:ascii="Arial" w:cs="Arial" w:eastAsia="Arial" w:hAnsi="Arial"/>
          <w:sz w:val="18"/>
          <w:szCs w:val="18"/>
          <w:b w:val="1"/>
          <w:bCs w:val="1"/>
          <w:color w:val="auto"/>
        </w:rPr>
      </w:pPr>
    </w:p>
    <w:p>
      <w:pPr>
        <w:ind w:left="340" w:hanging="211"/>
        <w:spacing w:after="0"/>
        <w:tabs>
          <w:tab w:leader="none" w:pos="34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liquidation preference per share;</w:t>
      </w:r>
    </w:p>
    <w:p>
      <w:pPr>
        <w:spacing w:after="0" w:line="251" w:lineRule="exact"/>
        <w:rPr>
          <w:rFonts w:ascii="Arial" w:cs="Arial" w:eastAsia="Arial" w:hAnsi="Arial"/>
          <w:sz w:val="18"/>
          <w:szCs w:val="18"/>
          <w:b w:val="1"/>
          <w:bCs w:val="1"/>
          <w:color w:val="auto"/>
        </w:rPr>
      </w:pPr>
    </w:p>
    <w:p>
      <w:pPr>
        <w:ind w:left="340" w:hanging="211"/>
        <w:spacing w:after="0"/>
        <w:tabs>
          <w:tab w:leader="none" w:pos="34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purchase price;</w:t>
      </w:r>
    </w:p>
    <w:p>
      <w:pPr>
        <w:spacing w:after="0" w:line="251" w:lineRule="exact"/>
        <w:rPr>
          <w:rFonts w:ascii="Arial" w:cs="Arial" w:eastAsia="Arial" w:hAnsi="Arial"/>
          <w:sz w:val="18"/>
          <w:szCs w:val="18"/>
          <w:b w:val="1"/>
          <w:bCs w:val="1"/>
          <w:color w:val="auto"/>
        </w:rPr>
      </w:pPr>
    </w:p>
    <w:p>
      <w:pPr>
        <w:ind w:left="340" w:hanging="211"/>
        <w:spacing w:after="0"/>
        <w:tabs>
          <w:tab w:leader="none" w:pos="34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51" w:lineRule="exact"/>
        <w:rPr>
          <w:rFonts w:ascii="Arial" w:cs="Arial" w:eastAsia="Arial" w:hAnsi="Arial"/>
          <w:sz w:val="18"/>
          <w:szCs w:val="18"/>
          <w:b w:val="1"/>
          <w:bCs w:val="1"/>
          <w:color w:val="auto"/>
        </w:rPr>
      </w:pPr>
    </w:p>
    <w:p>
      <w:pPr>
        <w:ind w:left="340" w:hanging="211"/>
        <w:spacing w:after="0"/>
        <w:tabs>
          <w:tab w:leader="none" w:pos="34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51" w:lineRule="exact"/>
        <w:rPr>
          <w:rFonts w:ascii="Arial" w:cs="Arial" w:eastAsia="Arial" w:hAnsi="Arial"/>
          <w:sz w:val="18"/>
          <w:szCs w:val="18"/>
          <w:b w:val="1"/>
          <w:bCs w:val="1"/>
          <w:color w:val="auto"/>
        </w:rPr>
      </w:pPr>
    </w:p>
    <w:p>
      <w:pPr>
        <w:ind w:left="340" w:hanging="211"/>
        <w:spacing w:after="0"/>
        <w:tabs>
          <w:tab w:leader="none" w:pos="34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procedures for any auction and remarketing, if any;</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340" w:hanging="211"/>
        <w:spacing w:after="0"/>
        <w:tabs>
          <w:tab w:leader="none" w:pos="34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provisions for a sinking fund, if any;</w:t>
      </w:r>
    </w:p>
    <w:p>
      <w:pPr>
        <w:spacing w:after="0" w:line="251" w:lineRule="exact"/>
        <w:rPr>
          <w:rFonts w:ascii="Arial" w:cs="Arial" w:eastAsia="Arial" w:hAnsi="Arial"/>
          <w:sz w:val="18"/>
          <w:szCs w:val="18"/>
          <w:b w:val="1"/>
          <w:bCs w:val="1"/>
          <w:color w:val="auto"/>
        </w:rPr>
      </w:pPr>
    </w:p>
    <w:p>
      <w:pPr>
        <w:ind w:left="340" w:hanging="211"/>
        <w:spacing w:after="0"/>
        <w:tabs>
          <w:tab w:leader="none" w:pos="34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51" w:lineRule="exact"/>
        <w:rPr>
          <w:rFonts w:ascii="Arial" w:cs="Arial" w:eastAsia="Arial" w:hAnsi="Arial"/>
          <w:sz w:val="18"/>
          <w:szCs w:val="18"/>
          <w:b w:val="1"/>
          <w:bCs w:val="1"/>
          <w:color w:val="auto"/>
        </w:rPr>
      </w:pPr>
    </w:p>
    <w:p>
      <w:pPr>
        <w:ind w:left="340" w:hanging="211"/>
        <w:spacing w:after="0"/>
        <w:tabs>
          <w:tab w:leader="none" w:pos="34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51" w:lineRule="exact"/>
        <w:rPr>
          <w:rFonts w:ascii="Arial" w:cs="Arial" w:eastAsia="Arial" w:hAnsi="Arial"/>
          <w:sz w:val="18"/>
          <w:szCs w:val="18"/>
          <w:b w:val="1"/>
          <w:bCs w:val="1"/>
          <w:color w:val="auto"/>
        </w:rPr>
      </w:pPr>
    </w:p>
    <w:p>
      <w:pPr>
        <w:ind w:left="340" w:right="20" w:hanging="211"/>
        <w:spacing w:after="0" w:line="281" w:lineRule="auto"/>
        <w:tabs>
          <w:tab w:leader="none" w:pos="34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2" w:lineRule="exact"/>
        <w:rPr>
          <w:rFonts w:ascii="Arial" w:cs="Arial" w:eastAsia="Arial" w:hAnsi="Arial"/>
          <w:sz w:val="18"/>
          <w:szCs w:val="18"/>
          <w:b w:val="1"/>
          <w:bCs w:val="1"/>
          <w:color w:val="auto"/>
        </w:rPr>
      </w:pPr>
    </w:p>
    <w:p>
      <w:pPr>
        <w:ind w:left="340" w:hanging="211"/>
        <w:spacing w:after="0" w:line="281" w:lineRule="auto"/>
        <w:tabs>
          <w:tab w:leader="none" w:pos="34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2" w:lineRule="exact"/>
        <w:rPr>
          <w:rFonts w:ascii="Arial" w:cs="Arial" w:eastAsia="Arial" w:hAnsi="Arial"/>
          <w:sz w:val="18"/>
          <w:szCs w:val="18"/>
          <w:b w:val="1"/>
          <w:bCs w:val="1"/>
          <w:color w:val="auto"/>
        </w:rPr>
      </w:pPr>
    </w:p>
    <w:p>
      <w:pPr>
        <w:ind w:left="340" w:hanging="211"/>
        <w:spacing w:after="0"/>
        <w:tabs>
          <w:tab w:leader="none" w:pos="34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voting rights, if any, of the preferred stock;</w:t>
      </w:r>
    </w:p>
    <w:p>
      <w:pPr>
        <w:spacing w:after="0" w:line="251" w:lineRule="exact"/>
        <w:rPr>
          <w:rFonts w:ascii="Arial" w:cs="Arial" w:eastAsia="Arial" w:hAnsi="Arial"/>
          <w:sz w:val="18"/>
          <w:szCs w:val="18"/>
          <w:b w:val="1"/>
          <w:bCs w:val="1"/>
          <w:color w:val="auto"/>
        </w:rPr>
      </w:pPr>
    </w:p>
    <w:p>
      <w:pPr>
        <w:ind w:left="340" w:hanging="211"/>
        <w:spacing w:after="0"/>
        <w:tabs>
          <w:tab w:leader="none" w:pos="34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preemptive rights, if any;</w:t>
      </w:r>
    </w:p>
    <w:p>
      <w:pPr>
        <w:spacing w:after="0" w:line="251" w:lineRule="exact"/>
        <w:rPr>
          <w:rFonts w:ascii="Arial" w:cs="Arial" w:eastAsia="Arial" w:hAnsi="Arial"/>
          <w:sz w:val="18"/>
          <w:szCs w:val="18"/>
          <w:b w:val="1"/>
          <w:bCs w:val="1"/>
          <w:color w:val="auto"/>
        </w:rPr>
      </w:pPr>
    </w:p>
    <w:p>
      <w:pPr>
        <w:ind w:left="340" w:hanging="211"/>
        <w:spacing w:after="0"/>
        <w:tabs>
          <w:tab w:leader="none" w:pos="34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restrictions on transfer, sale or other assignment, if any;</w:t>
      </w:r>
    </w:p>
    <w:p>
      <w:pPr>
        <w:spacing w:after="0" w:line="251" w:lineRule="exact"/>
        <w:rPr>
          <w:rFonts w:ascii="Arial" w:cs="Arial" w:eastAsia="Arial" w:hAnsi="Arial"/>
          <w:sz w:val="18"/>
          <w:szCs w:val="18"/>
          <w:b w:val="1"/>
          <w:bCs w:val="1"/>
          <w:color w:val="auto"/>
        </w:rPr>
      </w:pPr>
    </w:p>
    <w:p>
      <w:pPr>
        <w:ind w:left="340" w:hanging="211"/>
        <w:spacing w:after="0"/>
        <w:tabs>
          <w:tab w:leader="none" w:pos="34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51" w:lineRule="exact"/>
        <w:rPr>
          <w:rFonts w:ascii="Arial" w:cs="Arial" w:eastAsia="Arial" w:hAnsi="Arial"/>
          <w:sz w:val="18"/>
          <w:szCs w:val="18"/>
          <w:b w:val="1"/>
          <w:bCs w:val="1"/>
          <w:color w:val="auto"/>
        </w:rPr>
      </w:pPr>
    </w:p>
    <w:p>
      <w:pPr>
        <w:ind w:left="340" w:hanging="211"/>
        <w:spacing w:after="0"/>
        <w:tabs>
          <w:tab w:leader="none" w:pos="34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discussion of any material U.S. federal income tax considerations applicable to the preferred stock;</w:t>
      </w:r>
    </w:p>
    <w:p>
      <w:pPr>
        <w:spacing w:after="0" w:line="251" w:lineRule="exact"/>
        <w:rPr>
          <w:rFonts w:ascii="Arial" w:cs="Arial" w:eastAsia="Arial" w:hAnsi="Arial"/>
          <w:sz w:val="18"/>
          <w:szCs w:val="18"/>
          <w:b w:val="1"/>
          <w:bCs w:val="1"/>
          <w:color w:val="auto"/>
        </w:rPr>
      </w:pPr>
    </w:p>
    <w:p>
      <w:pPr>
        <w:ind w:left="340" w:hanging="211"/>
        <w:spacing w:after="0"/>
        <w:tabs>
          <w:tab w:leader="none" w:pos="34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51" w:lineRule="exact"/>
        <w:rPr>
          <w:rFonts w:ascii="Arial" w:cs="Arial" w:eastAsia="Arial" w:hAnsi="Arial"/>
          <w:sz w:val="18"/>
          <w:szCs w:val="18"/>
          <w:b w:val="1"/>
          <w:bCs w:val="1"/>
          <w:color w:val="auto"/>
        </w:rPr>
      </w:pPr>
    </w:p>
    <w:p>
      <w:pPr>
        <w:ind w:left="340" w:right="20" w:hanging="211"/>
        <w:spacing w:after="0" w:line="281" w:lineRule="auto"/>
        <w:tabs>
          <w:tab w:leader="none" w:pos="34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62" w:lineRule="exact"/>
        <w:rPr>
          <w:rFonts w:ascii="Arial" w:cs="Arial" w:eastAsia="Arial" w:hAnsi="Arial"/>
          <w:sz w:val="18"/>
          <w:szCs w:val="18"/>
          <w:b w:val="1"/>
          <w:bCs w:val="1"/>
          <w:color w:val="auto"/>
        </w:rPr>
      </w:pPr>
    </w:p>
    <w:p>
      <w:pPr>
        <w:ind w:left="340" w:hanging="211"/>
        <w:spacing w:after="0"/>
        <w:tabs>
          <w:tab w:leader="none" w:pos="34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Registration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holders of our securities, including certain holders of 5% of our capital stock, and certain of our directors are entitled to certain rights with respect to registration of such securities under the Securities Act. These securities are referred to as registrable securities. The holders of these registrable securities possess registration rights pursuant to the terms of registration rights agreements.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general, the registration of shares of our common stock pursuant to the exercise of registration rights enables the holders to trade such shares without restriction under the Securities Act when the applicable registration statement is declared effective. We generally have agreed to pay the registration expenses for such registration statements, other than underwriting discounts, selling commissions and stock transfer taxes, of the shares registered.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the holders may include. We must use commercially reasonable efforts to keep the registration statement effective until the earlier of the date on which all registrable securities covered by such registration statement have been sold, or at such time that the holders of the registrable securities can sell their shares under Rule 144 of the Securities Act during any three-month period.</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Charter Documents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62" w:lineRule="exact"/>
        <w:rPr>
          <w:sz w:val="20"/>
          <w:szCs w:val="20"/>
          <w:color w:val="auto"/>
        </w:rPr>
      </w:pPr>
    </w:p>
    <w:p>
      <w:pPr>
        <w:ind w:left="660" w:hanging="328"/>
        <w:spacing w:after="0" w:line="281"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62" w:lineRule="exact"/>
        <w:rPr>
          <w:rFonts w:ascii="Arial" w:cs="Arial" w:eastAsia="Arial" w:hAnsi="Arial"/>
          <w:sz w:val="18"/>
          <w:szCs w:val="18"/>
          <w:b w:val="1"/>
          <w:bCs w:val="1"/>
          <w:color w:val="auto"/>
        </w:rPr>
      </w:pPr>
    </w:p>
    <w:p>
      <w:pPr>
        <w:jc w:val="both"/>
        <w:ind w:left="660" w:hanging="328"/>
        <w:spacing w:after="0" w:line="258"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and</w:t>
      </w:r>
    </w:p>
    <w:p>
      <w:pPr>
        <w:spacing w:after="0" w:line="18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66⅔% of the outstanding voting stock that is not owned by the interested stockholder.</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 and</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Among other things, our Certificate of Incorporation and Bylaws:</w:t>
      </w:r>
    </w:p>
    <w:p>
      <w:pPr>
        <w:spacing w:after="0" w:line="225" w:lineRule="exact"/>
        <w:rPr>
          <w:sz w:val="20"/>
          <w:szCs w:val="20"/>
          <w:color w:val="auto"/>
        </w:rPr>
      </w:pPr>
    </w:p>
    <w:p>
      <w:pPr>
        <w:ind w:left="660" w:right="20" w:hanging="328"/>
        <w:spacing w:after="0" w:line="281" w:lineRule="auto"/>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in control;</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provide that our board of directors is classified into three classes of directors;</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 a majority of the voting power of all of our then-outstanding shares of the capital stock entitled to vote generally at an election of directors;</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77"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provide that special meetings of our stockholders may be called only by the chairman of our board of directors, our chief executive officer or president or by our board of directors pursuant to a resolution adopted by a majority of the total number of authorized directors; and</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requires approval by the holders of at least 66⅔% of the voting power of all of our then-outstanding common stock entitled to vote generally in the election of directors, voting together as a single class.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may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the Court of Chancery of the State of Delaware is the sole and exclusive forum for any derivative action or proceeding brought on our behalf; any action asserting a breach of fiduciary duty to us or our stockholders; any action asserting a claim against us arising pursuant to any provision of the DGCL, our Certificate of Incorporation or our Bylaws; or any action asserting a claim against us that is governed by the internal affairs doctrine.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our Certificate of Incorporation to be inapplicable or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“OTLK”. The applicable prospectus supplement will contain information, where applicable, as to any other listing, if any, on The Nasdaq Capital Market or any securities market or other exchange of the preferred stock or other securities covered by such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Equinti Trust Company, LLC. Its address is 48 Wall Street, Floor 23, New York, NY 10005.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title of the series of debt securities;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maturity date or dates;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form of the debt securities of the series;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applicability of any guarantees;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left="328" w:hanging="328"/>
        <w:spacing w:after="0" w:line="260" w:lineRule="auto"/>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82"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interest rate or rates, which may be fixed or variable, or the method for determining the rate or rates and the date interest will begin to accrue, the dates interest will be payable and the regular record dates for interest payment dates or the method for determining such dates;</w:t>
      </w:r>
    </w:p>
    <w:p>
      <w:pPr>
        <w:spacing w:after="0" w:line="162" w:lineRule="exact"/>
        <w:rPr>
          <w:rFonts w:ascii="Arial" w:cs="Arial" w:eastAsia="Arial" w:hAnsi="Arial"/>
          <w:sz w:val="18"/>
          <w:szCs w:val="18"/>
          <w:b w:val="1"/>
          <w:bCs w:val="1"/>
          <w:color w:val="auto"/>
        </w:rPr>
      </w:pPr>
    </w:p>
    <w:p>
      <w:pPr>
        <w:ind w:left="328" w:hanging="328"/>
        <w:spacing w:after="0"/>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4"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62" w:lineRule="exact"/>
        <w:rPr>
          <w:rFonts w:ascii="Arial" w:cs="Arial" w:eastAsia="Arial" w:hAnsi="Arial"/>
          <w:sz w:val="18"/>
          <w:szCs w:val="18"/>
          <w:b w:val="1"/>
          <w:bCs w:val="1"/>
          <w:color w:val="auto"/>
        </w:rPr>
      </w:pPr>
    </w:p>
    <w:p>
      <w:pPr>
        <w:jc w:val="both"/>
        <w:ind w:left="328" w:hanging="328"/>
        <w:spacing w:after="0" w:line="265" w:lineRule="auto"/>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77" w:lineRule="exact"/>
        <w:rPr>
          <w:rFonts w:ascii="Arial" w:cs="Arial" w:eastAsia="Arial" w:hAnsi="Arial"/>
          <w:sz w:val="18"/>
          <w:szCs w:val="18"/>
          <w:b w:val="1"/>
          <w:bCs w:val="1"/>
          <w:color w:val="auto"/>
        </w:rPr>
      </w:pPr>
    </w:p>
    <w:p>
      <w:pPr>
        <w:ind w:left="328" w:hanging="328"/>
        <w:spacing w:after="0"/>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224"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62" w:lineRule="exact"/>
        <w:rPr>
          <w:rFonts w:ascii="Arial" w:cs="Arial" w:eastAsia="Arial" w:hAnsi="Arial"/>
          <w:sz w:val="18"/>
          <w:szCs w:val="18"/>
          <w:b w:val="1"/>
          <w:bCs w:val="1"/>
          <w:color w:val="auto"/>
        </w:rPr>
      </w:pPr>
    </w:p>
    <w:p>
      <w:pPr>
        <w:jc w:val="both"/>
        <w:ind w:left="328" w:hanging="328"/>
        <w:spacing w:after="0" w:line="265" w:lineRule="auto"/>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7" w:lineRule="exact"/>
        <w:rPr>
          <w:rFonts w:ascii="Arial" w:cs="Arial" w:eastAsia="Arial" w:hAnsi="Arial"/>
          <w:sz w:val="18"/>
          <w:szCs w:val="18"/>
          <w:b w:val="1"/>
          <w:bCs w:val="1"/>
          <w:color w:val="auto"/>
        </w:rPr>
      </w:pPr>
    </w:p>
    <w:p>
      <w:pPr>
        <w:jc w:val="both"/>
        <w:ind w:left="328" w:hanging="328"/>
        <w:spacing w:after="0" w:line="260" w:lineRule="auto"/>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82"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62"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162"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62" w:lineRule="exact"/>
        <w:rPr>
          <w:rFonts w:ascii="Arial" w:cs="Arial" w:eastAsia="Arial" w:hAnsi="Arial"/>
          <w:sz w:val="18"/>
          <w:szCs w:val="18"/>
          <w:b w:val="1"/>
          <w:bCs w:val="1"/>
          <w:color w:val="auto"/>
        </w:rPr>
      </w:pPr>
    </w:p>
    <w:p>
      <w:pPr>
        <w:ind w:left="328" w:hanging="328"/>
        <w:spacing w:after="0"/>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224" w:lineRule="exact"/>
        <w:rPr>
          <w:rFonts w:ascii="Arial" w:cs="Arial" w:eastAsia="Arial" w:hAnsi="Arial"/>
          <w:sz w:val="18"/>
          <w:szCs w:val="18"/>
          <w:b w:val="1"/>
          <w:bCs w:val="1"/>
          <w:color w:val="auto"/>
        </w:rPr>
      </w:pPr>
    </w:p>
    <w:p>
      <w:pPr>
        <w:ind w:left="328" w:hanging="328"/>
        <w:spacing w:after="0"/>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224"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378"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3" w:name="page44"/>
    <w:bookmarkEnd w:id="43"/>
    <w:p>
      <w:pPr>
        <w:ind w:left="660" w:hanging="328"/>
        <w:spacing w:after="0"/>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62" w:lineRule="exact"/>
        <w:rPr>
          <w:sz w:val="20"/>
          <w:szCs w:val="20"/>
          <w:color w:val="auto"/>
        </w:rPr>
      </w:pPr>
    </w:p>
    <w:p>
      <w:pPr>
        <w:jc w:val="both"/>
        <w:ind w:left="660" w:hanging="328"/>
        <w:spacing w:after="0" w:line="265" w:lineRule="auto"/>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77"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82"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82" w:lineRule="exact"/>
        <w:rPr>
          <w:rFonts w:ascii="Arial" w:cs="Arial" w:eastAsia="Arial" w:hAnsi="Arial"/>
          <w:sz w:val="18"/>
          <w:szCs w:val="18"/>
          <w:b w:val="1"/>
          <w:bCs w:val="1"/>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16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77"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16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provide for payment;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maintain paying agencies;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hold monies for payment in trust;</w:t>
      </w: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60" w:hanging="328"/>
        <w:spacing w:after="0"/>
        <w:tabs>
          <w:tab w:leader="none" w:pos="66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recover excess money held by the trustee;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compensate and indemnify the trustee;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appoint any successor trustee.</w:t>
      </w:r>
    </w:p>
    <w:p>
      <w:pPr>
        <w:spacing w:after="0" w:line="22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security registrars or transfer agents or rescind the designation of any security registrars or transfer agent or approve a change in the office through which any security registrars or transfer agent acts, except that we will be required to maintain a security registrar and a transfer agent in each place of payment for the debt securities of each series.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5" w:lineRule="auto"/>
        <w:tabs>
          <w:tab w:leader="none" w:pos="66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may at any time rescind the designation or any paying agent or approve a change in the office through which any paying agent acts, except that we will be required to maintain a paying agent in each place of payment for the debt securities of a particular series.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being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 to the extent applicable:</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offering price and aggregate number of warrants offered;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currency for which the warrants may be purchased;</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designation and terms of the securities with which the warrants are issued and the number of warrants issued with each such security or each principal amount of such security;</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of any rights to redeem or call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9" w:name="page50"/>
    <w:bookmarkEnd w:id="49"/>
    <w:p>
      <w:pPr>
        <w:ind w:left="660" w:hanging="328"/>
        <w:spacing w:after="0"/>
        <w:tabs>
          <w:tab w:leader="none" w:pos="66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discussion of material or special U.S. federal income tax considerations of holding or exercising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162" w:lineRule="exact"/>
        <w:rPr>
          <w:sz w:val="20"/>
          <w:szCs w:val="20"/>
          <w:color w:val="auto"/>
        </w:rPr>
      </w:pPr>
    </w:p>
    <w:p>
      <w:pPr>
        <w:ind w:left="660" w:hanging="328"/>
        <w:spacing w:after="0" w:line="281" w:lineRule="auto"/>
        <w:tabs>
          <w:tab w:leader="none" w:pos="66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 or</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any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or in street name, you should check with your own institution to find out:</w:t>
      </w:r>
    </w:p>
    <w:p>
      <w:pPr>
        <w:spacing w:after="0" w:line="16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how it handles securities payments and notices;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it imposes fees or charges;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225" w:lineRule="exact"/>
        <w:rPr>
          <w:sz w:val="20"/>
          <w:szCs w:val="20"/>
          <w:color w:val="auto"/>
        </w:rPr>
      </w:pPr>
    </w:p>
    <w:p>
      <w:pPr>
        <w:ind w:left="660" w:hanging="328"/>
        <w:spacing w:after="0" w:line="281" w:lineRule="auto"/>
        <w:tabs>
          <w:tab w:leader="none" w:pos="66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bank or broker may require you to do so as well; and</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transfers, exchanges, notices and other matters relating to the securities.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a global security will terminate when the following special situations occur:</w:t>
      </w:r>
    </w:p>
    <w:p>
      <w:pPr>
        <w:spacing w:after="0" w:line="225" w:lineRule="exact"/>
        <w:rPr>
          <w:sz w:val="20"/>
          <w:szCs w:val="20"/>
          <w:color w:val="auto"/>
        </w:rPr>
      </w:pPr>
    </w:p>
    <w:p>
      <w:pPr>
        <w:ind w:left="660" w:right="20" w:hanging="328"/>
        <w:spacing w:after="0" w:line="281" w:lineRule="auto"/>
        <w:tabs>
          <w:tab w:leader="none" w:pos="66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2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sell the securities covered hereby from time to time pursuant to underwritten public offerings, direct sales to the public, negotiated transactions, block trades or a combination of these methods. A distribution of these securities offered by this prospectus may also be effected through the issuance of derivative securities, including, without limitation, warrants. We may sell the securities to or through underwriters or dealers, through agents, or directly to one or more purchasers. We may distribute securities from time to time in one or more transactions:</w:t>
      </w:r>
    </w:p>
    <w:p>
      <w:pPr>
        <w:spacing w:after="0" w:line="180"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a fixed price or prices, which may be changed;</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market prices prevailing at the time of sale;</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prices related to such prevailing market prices; or</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negotiated prices.</w:t>
      </w:r>
    </w:p>
    <w:p>
      <w:pPr>
        <w:spacing w:after="0" w:line="22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w:t>
      </w:r>
    </w:p>
    <w:p>
      <w:pPr>
        <w:spacing w:after="0" w:line="162" w:lineRule="exact"/>
        <w:rPr>
          <w:sz w:val="20"/>
          <w:szCs w:val="20"/>
          <w:color w:val="auto"/>
        </w:rPr>
      </w:pPr>
    </w:p>
    <w:p>
      <w:pPr>
        <w:ind w:left="340" w:hanging="332"/>
        <w:spacing w:after="0" w:line="281" w:lineRule="auto"/>
        <w:tabs>
          <w:tab w:leader="none" w:pos="34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or through the facilities of The Nasdaq Capital Market or any other securities exchange or quotation or trading service on which such securities may be listed, quoted or traded at the time of sale; and/or</w:t>
      </w:r>
    </w:p>
    <w:p>
      <w:pPr>
        <w:spacing w:after="0" w:line="162" w:lineRule="exact"/>
        <w:rPr>
          <w:rFonts w:ascii="Arial" w:cs="Arial" w:eastAsia="Arial" w:hAnsi="Arial"/>
          <w:sz w:val="18"/>
          <w:szCs w:val="18"/>
          <w:b w:val="1"/>
          <w:bCs w:val="1"/>
          <w:color w:val="auto"/>
        </w:rPr>
      </w:pPr>
    </w:p>
    <w:p>
      <w:pPr>
        <w:ind w:left="340" w:right="940" w:hanging="332"/>
        <w:spacing w:after="0" w:line="499" w:lineRule="auto"/>
        <w:tabs>
          <w:tab w:leader="none" w:pos="34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or through a market maker other than on The Nasdaq Capital Market or such other securities exchanges or quotation or trading services. Such at-the-market offerings, if any, may be conducted by underwriters acting as principal or agent.</w:t>
      </w:r>
    </w:p>
    <w:p>
      <w:pPr>
        <w:spacing w:after="0" w:line="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2"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name or names of any underwriters, dealers or agents, if any;</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224" w:lineRule="exact"/>
        <w:rPr>
          <w:rFonts w:ascii="Arial" w:cs="Arial" w:eastAsia="Arial" w:hAnsi="Arial"/>
          <w:sz w:val="18"/>
          <w:szCs w:val="18"/>
          <w:b w:val="1"/>
          <w:bCs w:val="1"/>
          <w:color w:val="auto"/>
        </w:rPr>
      </w:pPr>
    </w:p>
    <w:p>
      <w:pPr>
        <w:ind w:left="380" w:hanging="372"/>
        <w:spacing w:after="0"/>
        <w:tabs>
          <w:tab w:leader="none" w:pos="3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options pursuant to which underwriters may purchase additional securities from us;</w:t>
      </w:r>
    </w:p>
    <w:p>
      <w:pPr>
        <w:spacing w:after="0" w:line="224" w:lineRule="exact"/>
        <w:rPr>
          <w:rFonts w:ascii="Arial" w:cs="Arial" w:eastAsia="Arial" w:hAnsi="Arial"/>
          <w:sz w:val="18"/>
          <w:szCs w:val="18"/>
          <w:b w:val="1"/>
          <w:bCs w:val="1"/>
          <w:color w:val="auto"/>
        </w:rPr>
      </w:pPr>
    </w:p>
    <w:p>
      <w:pPr>
        <w:ind w:left="380" w:hanging="372"/>
        <w:spacing w:after="0"/>
        <w:tabs>
          <w:tab w:leader="none" w:pos="3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public offering price;</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securities.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Nasdaq Capital Market. We have no current plans for listing of the preferred stock, debt securities or warrants on any securities exchange or quotation system; any such listing with respect to any particular preferred stock, debt securities or warrants will be described in the applicable prospectus supplement or other offering materials, as the case may be.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Rule 103 of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agents and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prospectus supplement thereto, will be passed upon by Cooley LLP, Chicago, Illinois. Additional legal matters may be passed upon for us or any underwriters, dealers or agents, by counsel that we will name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Outlook Therapeutics, Inc. as of September 30, 2023 and 2022, and for the years then ended, have been incorporated by reference herein in reliance upon the report of KPMG LLP, independent registered public accounting firm, incorporated by reference herein, and upon the authority of said firm as experts in accounting and auditing. The audit report covering the September 30, 2023 consolidated financial statements contains an explanatory paragraph that states that the Company has incurred recurring losses and negative cash flows from operations and has an accumulated deficit, that raise substantial doubt about its ability to continue as a going concern. The consolidated financial statements do not include any adjustments that might result from the outcome of that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information contained in this prospectus or incorporated by reference into this prospectus. We have not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at the SEC’s website at http://www.sec.gov.</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maintain a website at http://www.outlooktherapeutics.com. Information contained in or accessible through our website does not constitute a part of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and documents listed below that we have filed with the SEC (Commission File No. 001-37759):</w:t>
      </w:r>
    </w:p>
    <w:p>
      <w:pPr>
        <w:spacing w:after="0" w:line="187" w:lineRule="exact"/>
        <w:rPr>
          <w:sz w:val="20"/>
          <w:szCs w:val="20"/>
          <w:color w:val="auto"/>
        </w:rPr>
      </w:pPr>
    </w:p>
    <w:p>
      <w:pPr>
        <w:ind w:left="660" w:hanging="328"/>
        <w:spacing w:after="0" w:line="28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September 30, 2023, filed with the SEC on </w:t>
      </w:r>
      <w:hyperlink r:id="rId91">
        <w:r>
          <w:rPr>
            <w:rFonts w:ascii="Times New Roman" w:cs="Times New Roman" w:eastAsia="Times New Roman" w:hAnsi="Times New Roman"/>
            <w:sz w:val="18"/>
            <w:szCs w:val="18"/>
            <w:u w:val="single" w:color="auto"/>
            <w:color w:val="0000EE"/>
          </w:rPr>
          <w:t>December 22, 2023</w:t>
        </w:r>
      </w:hyperlink>
      <w:r>
        <w:rPr>
          <w:rFonts w:ascii="Times New Roman" w:cs="Times New Roman" w:eastAsia="Times New Roman" w:hAnsi="Times New Roman"/>
          <w:sz w:val="18"/>
          <w:szCs w:val="18"/>
          <w:color w:val="auto"/>
        </w:rPr>
        <w:t xml:space="preserve">, or the 2023 Form 10-K, and amended on </w:t>
      </w:r>
      <w:hyperlink r:id="rId92">
        <w:r>
          <w:rPr>
            <w:rFonts w:ascii="Times New Roman" w:cs="Times New Roman" w:eastAsia="Times New Roman" w:hAnsi="Times New Roman"/>
            <w:sz w:val="18"/>
            <w:szCs w:val="18"/>
            <w:u w:val="single" w:color="auto"/>
            <w:color w:val="0000EE"/>
          </w:rPr>
          <w:t>January 24, 2024</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December 31, 2023 filed with the SEC on </w:t>
      </w:r>
      <w:hyperlink r:id="rId93">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44"/>
        </w:numPr>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October 20, 2023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November 2, 2023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December 6, 2023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24, 2024</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7,</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5">
        <w:r>
          <w:rPr>
            <w:rFonts w:ascii="Times New Roman" w:cs="Times New Roman" w:eastAsia="Times New Roman" w:hAnsi="Times New Roman"/>
            <w:sz w:val="18"/>
            <w:szCs w:val="18"/>
            <w:u w:val="single" w:color="auto"/>
            <w:color w:val="0000EE"/>
          </w:rPr>
          <w:t xml:space="preserve">March 18, 2024 </w:t>
        </w:r>
      </w:hyperlink>
      <w:hyperlink r:id="rId9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96">
        <w:r>
          <w:rPr>
            <w:rFonts w:ascii="Times New Roman" w:cs="Times New Roman" w:eastAsia="Times New Roman" w:hAnsi="Times New Roman"/>
            <w:sz w:val="18"/>
            <w:szCs w:val="18"/>
            <w:u w:val="single" w:color="auto"/>
            <w:color w:val="0000EE"/>
          </w:rPr>
          <w:t>March 26, 2024</w:t>
        </w:r>
      </w:hyperlink>
      <w:hyperlink r:id="rId94">
        <w:r>
          <w:rPr>
            <w:rFonts w:ascii="Times New Roman" w:cs="Times New Roman" w:eastAsia="Times New Roman" w:hAnsi="Times New Roman"/>
            <w:sz w:val="18"/>
            <w:szCs w:val="18"/>
            <w:color w:val="000000"/>
          </w:rPr>
          <w:t>, to the extent the information in such reports is filed and not furnished; and</w:t>
        </w:r>
      </w:hyperlink>
    </w:p>
    <w:p>
      <w:pPr>
        <w:spacing w:after="0" w:line="162" w:lineRule="exact"/>
        <w:rPr>
          <w:rFonts w:ascii="Times New Roman" w:cs="Times New Roman" w:eastAsia="Times New Roman" w:hAnsi="Times New Roman"/>
          <w:sz w:val="18"/>
          <w:szCs w:val="18"/>
          <w:color w:val="0000EE"/>
        </w:rPr>
      </w:pPr>
    </w:p>
    <w:p>
      <w:pPr>
        <w:jc w:val="both"/>
        <w:ind w:left="660" w:hanging="328"/>
        <w:spacing w:after="0" w:line="265" w:lineRule="auto"/>
        <w:tabs>
          <w:tab w:leader="none" w:pos="660" w:val="left"/>
        </w:tabs>
        <w:numPr>
          <w:ilvl w:val="0"/>
          <w:numId w:val="4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set forth in our registration statement on Form 8-A, filed with the SEC on </w:t>
      </w:r>
      <w:hyperlink r:id="rId51">
        <w:r>
          <w:rPr>
            <w:rFonts w:ascii="Times New Roman" w:cs="Times New Roman" w:eastAsia="Times New Roman" w:hAnsi="Times New Roman"/>
            <w:sz w:val="18"/>
            <w:szCs w:val="18"/>
            <w:u w:val="single" w:color="auto"/>
            <w:color w:val="0000EE"/>
          </w:rPr>
          <w:t>April 29, 2016</w:t>
        </w:r>
      </w:hyperlink>
      <w:r>
        <w:rPr>
          <w:rFonts w:ascii="Times New Roman" w:cs="Times New Roman" w:eastAsia="Times New Roman" w:hAnsi="Times New Roman"/>
          <w:sz w:val="18"/>
          <w:szCs w:val="18"/>
          <w:color w:val="auto"/>
        </w:rPr>
        <w:t xml:space="preserve">, as amended on </w:t>
      </w:r>
      <w:hyperlink r:id="rId97">
        <w:r>
          <w:rPr>
            <w:rFonts w:ascii="Times New Roman" w:cs="Times New Roman" w:eastAsia="Times New Roman" w:hAnsi="Times New Roman"/>
            <w:sz w:val="18"/>
            <w:szCs w:val="18"/>
            <w:u w:val="single" w:color="auto"/>
            <w:color w:val="0000EE"/>
          </w:rPr>
          <w:t>May 11, 2016</w:t>
        </w:r>
        <w:r>
          <w:rPr>
            <w:rFonts w:ascii="Times New Roman" w:cs="Times New Roman" w:eastAsia="Times New Roman" w:hAnsi="Times New Roman"/>
            <w:sz w:val="18"/>
            <w:szCs w:val="18"/>
            <w:color w:val="000000"/>
          </w:rPr>
          <w:t>, including any further amendments thereto or reports filed for the purposes of updating this description, including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Exhibit 4.1 of the</w:t>
        </w:r>
      </w:hyperlink>
      <w:r>
        <w:rPr>
          <w:rFonts w:ascii="Times New Roman" w:cs="Times New Roman" w:eastAsia="Times New Roman" w:hAnsi="Times New Roman"/>
          <w:sz w:val="18"/>
          <w:szCs w:val="18"/>
          <w:color w:val="0000EE"/>
        </w:rPr>
        <w:t xml:space="preserve"> </w:t>
      </w:r>
      <w:hyperlink r:id="rId97">
        <w:r>
          <w:rPr>
            <w:rFonts w:ascii="Times New Roman" w:cs="Times New Roman" w:eastAsia="Times New Roman" w:hAnsi="Times New Roman"/>
            <w:sz w:val="18"/>
            <w:szCs w:val="18"/>
            <w:u w:val="single" w:color="auto"/>
            <w:color w:val="0000EE"/>
          </w:rPr>
          <w:t>2023 Form 10-K</w:t>
        </w:r>
        <w:r>
          <w:rPr>
            <w:rFonts w:ascii="Times New Roman" w:cs="Times New Roman" w:eastAsia="Times New Roman" w:hAnsi="Times New Roman"/>
            <w:sz w:val="18"/>
            <w:szCs w:val="18"/>
            <w:color w:val="000000"/>
          </w:rPr>
          <w:t>.</w:t>
        </w:r>
      </w:hyperlink>
    </w:p>
    <w:p>
      <w:pPr>
        <w:spacing w:after="0" w:line="177" w:lineRule="exact"/>
        <w:rPr>
          <w:rFonts w:ascii="Times New Roman" w:cs="Times New Roman" w:eastAsia="Times New Roman" w:hAnsi="Times New Roman"/>
          <w:sz w:val="18"/>
          <w:szCs w:val="18"/>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 after the date of the filing of the registration statement of which this prospectus is a part and prior to effectiveness of the registration statement and (ii) after the effectiveness of the registration statement of which this prospectus is a part but prior to the termination of all offerings of securities covered by this prospectus (Commission File No. 001-37759).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 Outlook Therapeutics, Inc., Attention: Corporate Secretary, 485 Route 1 South, Building F, Suite 320, Iselin, New Jersey 08830. Our phone number is (609) 619-3990. You may also view the documents that we file with the SEC and incorporate by reference in this prospectus on our corporate website at www.outlooktherapeutics.com. The information on our website is not incorporated by reference and is not a part of this prospectus.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2231390</wp:posOffset>
            </wp:positionH>
            <wp:positionV relativeFrom="page">
              <wp:posOffset>586105</wp:posOffset>
            </wp:positionV>
            <wp:extent cx="3086100" cy="8915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308610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8,539,709 Shares of Common Stock</w:t>
      </w:r>
    </w:p>
    <w:p>
      <w:pPr>
        <w:sectPr>
          <w:pgSz w:w="11900" w:h="16838" w:orient="portrait"/>
          <w:cols w:equalWidth="0" w:num="1">
            <w:col w:w="9019"/>
          </w:cols>
          <w:pgMar w:left="1440" w:top="1440" w:right="1440"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lowerRoman"/>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upperLetter"/>
      <w:start w:val="2"/>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jpe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jpeg"/><Relationship Id="rId100" Type="http://schemas.openxmlformats.org/officeDocument/2006/relationships/image" Target="media/image72.png"/><Relationship Id="rId12" Type="http://schemas.openxmlformats.org/officeDocument/2006/relationships/hyperlink" Target="https://www.sec.gov/ix?doc=/Archives/edgar/data/0001649989/000110465925123264/otlk-20250930x10k.htm" TargetMode="External"/><Relationship Id="rId36" Type="http://schemas.openxmlformats.org/officeDocument/2006/relationships/hyperlink" Target="https://www.sec.gov/Archives/edgar/data/0001649989/000110465925123264/otlk-20250930xex4d1.htm" TargetMode="External"/><Relationship Id="rId40" Type="http://schemas.openxmlformats.org/officeDocument/2006/relationships/hyperlink" Target="https://www.sec.gov/ix?doc=/Archives/edgar/data/0001649989/000114036126002406/ny20058729x1_def14a.htm" TargetMode="External"/><Relationship Id="rId41" Type="http://schemas.openxmlformats.org/officeDocument/2006/relationships/hyperlink" Target="https://www.sec.gov/ix?doc=/Archives/edgar/data/0001649989/000110465926016554/otlk-20251231x10q.htm" TargetMode="External"/><Relationship Id="rId42" Type="http://schemas.openxmlformats.org/officeDocument/2006/relationships/hyperlink" Target="https://www.sec.gov/ix?doc=/Archives/edgar/data/1649989/000110465926062632/otlk-20260331x10q.htm" TargetMode="External"/><Relationship Id="rId43" Type="http://schemas.openxmlformats.org/officeDocument/2006/relationships/hyperlink" Target="https://www.sec.gov/ix?doc=/Archives/edgar/data/0001649989/000110465925105633/tm2530088d1_8k.htm" TargetMode="External"/><Relationship Id="rId44" Type="http://schemas.openxmlformats.org/officeDocument/2006/relationships/hyperlink" Target="https://www.sec.gov/ix?doc=/Archives/edgar/data/0001649989/000110465925111316/tm2531109d1_8k.htm" TargetMode="External"/><Relationship Id="rId45" Type="http://schemas.openxmlformats.org/officeDocument/2006/relationships/hyperlink" Target="https://www.sec.gov/ix?doc=/Archives/edgar/data/0001649989/000110465926000066/tm2534608d1_8k.htm" TargetMode="External"/><Relationship Id="rId46" Type="http://schemas.openxmlformats.org/officeDocument/2006/relationships/hyperlink" Target="https://www.sec.gov/ix?doc=/Archives/edgar/data/0001649989/000110465926013470/tm265994d1_8k.htm" TargetMode="External"/><Relationship Id="rId47" Type="http://schemas.openxmlformats.org/officeDocument/2006/relationships/hyperlink" Target="https://www.sec.gov/ix?doc=/Archives/edgar/data/1649989/000110465926047741/tm2612578d1_8k.htm" TargetMode="External"/><Relationship Id="rId48" Type="http://schemas.openxmlformats.org/officeDocument/2006/relationships/hyperlink" Target="https://www.sec.gov/ix?doc=/Archives/edgar/data/1649989/000110465926060305/tm2614480d1_8k.htm" TargetMode="External"/><Relationship Id="rId49" Type="http://schemas.openxmlformats.org/officeDocument/2006/relationships/hyperlink" Target="https://www.sec.gov/ix?doc=/Archives/edgar/data/1649989/000110465926065992/tm2615583d1_8k.htm" TargetMode="External"/><Relationship Id="rId50" Type="http://schemas.openxmlformats.org/officeDocument/2006/relationships/hyperlink" Target="https://www.sec.gov/ix?doc=/Archives/edgar/data/0001649989/000110465926067614/tm2615925d1_8k.htm" TargetMode="External"/><Relationship Id="rId51" Type="http://schemas.openxmlformats.org/officeDocument/2006/relationships/hyperlink" Target="https://www.sec.gov/Archives/edgar/data/1649989/000157104916014572/t1601167_8a.htm" TargetMode="External"/><Relationship Id="rId91" Type="http://schemas.openxmlformats.org/officeDocument/2006/relationships/hyperlink" Target="https://www.sec.gov/ix?doc=/Archives/edgar/data/1649989/000155837023020000/otlk-20230930x10k.htm" TargetMode="External"/><Relationship Id="rId92" Type="http://schemas.openxmlformats.org/officeDocument/2006/relationships/hyperlink" Target="https://www.sec.gov/ix?doc=/Archives/edgar/data/1649989/000155837024000474/otlk-20230930x10ka.htm" TargetMode="External"/><Relationship Id="rId93" Type="http://schemas.openxmlformats.org/officeDocument/2006/relationships/hyperlink" Target="https://www.sec.gov/ix?doc=/Archives/edgar/data/1649989/000155837024001172/otlk-20231231x10q.htm" TargetMode="External"/><Relationship Id="rId94" Type="http://schemas.openxmlformats.org/officeDocument/2006/relationships/hyperlink" Target="https://www.sec.gov/ix?doc=/Archives/edgar/data/1649989/000110465924031908/tm248235d1_8k.htm" TargetMode="External"/><Relationship Id="rId95" Type="http://schemas.openxmlformats.org/officeDocument/2006/relationships/hyperlink" Target="https://www.sec.gov/ix?doc=/Archives/edgar/data/1649989/000110465924035644/tm249047d1_8k.htm" TargetMode="External"/><Relationship Id="rId96" Type="http://schemas.openxmlformats.org/officeDocument/2006/relationships/hyperlink" Target="https://www.sec.gov/ix?doc=/Archives/edgar/data/0001649989/000110465924039040/tm249829d1_8k.htm" TargetMode="External"/><Relationship Id="rId97" Type="http://schemas.openxmlformats.org/officeDocument/2006/relationships/hyperlink" Target="https://www.sec.gov/Archives/edgar/data/1649989/000155837023020000/otlk-20230930x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2026-05-29T07:32:14Z</dcterms:created>
  <dcterms:modified xsi:type="dcterms:W3CDTF">2026-05-29T07:32:14Z</dcterms:modified>
</cp:coreProperties>
</file>